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0)*</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Armada Hoffler Properties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04208T108</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30, 2016</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04208T108</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61,778</w:t>
      </w:r>
    </w:p>
    <w:p>
      <w:pPr>
        <w:ind w:left="100" w:right="78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1,800</w:t>
      </w: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4,059,317</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61,845</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4,121,162</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11.31%</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80"/>
        <w:spacing w:after="0"/>
        <w:rPr>
          <w:sz w:val="20"/>
          <w:szCs w:val="20"/>
          <w:color w:val="auto"/>
        </w:rPr>
      </w:pPr>
      <w:r>
        <w:rPr>
          <w:rFonts w:ascii="Arial" w:cs="Arial" w:eastAsia="Arial" w:hAnsi="Arial"/>
          <w:sz w:val="18"/>
          <w:szCs w:val="18"/>
          <w:color w:val="auto"/>
        </w:rPr>
        <w:t>Armada Hoffler Properties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222 Central Park Avenue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Suite 2100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Virginia Beach, Virginia 23462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04208T108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4,121,162</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61,778</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1,800</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4,059,317 (iv) shared power to dispose or to direct the disposition of: 61,845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01/10/17</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758190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4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60,045 shares or .16%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3,533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260"/>
      </w:cols>
      <w:pgMar w:left="240" w:top="36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2020-01-15T21:35:50Z</dcterms:created>
  <dcterms:modified xsi:type="dcterms:W3CDTF">2020-01-15T21:35:50Z</dcterms:modified>
</cp:coreProperties>
</file>