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Page 1 of 5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8"/>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ARMADA HOFFLER PROPERTIES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COM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04208T108</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2013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1" w:right="31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21" w:right="8099" w:hanging="311"/>
        <w:spacing w:after="0" w:line="279" w:lineRule="auto"/>
        <w:tabs>
          <w:tab w:leader="none" w:pos="52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1" w:right="26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1"/>
        <w:spacing w:after="0"/>
        <w:tabs>
          <w:tab w:leader="none" w:pos="3041" w:val="left"/>
          <w:tab w:leader="none" w:pos="5981" w:val="left"/>
        </w:tabs>
        <w:rPr>
          <w:sz w:val="20"/>
          <w:szCs w:val="20"/>
          <w:color w:val="auto"/>
        </w:rPr>
      </w:pPr>
      <w:r>
        <w:rPr>
          <w:rFonts w:ascii="Courier New" w:cs="Courier New" w:eastAsia="Courier New" w:hAnsi="Courier New"/>
          <w:sz w:val="18"/>
          <w:szCs w:val="18"/>
          <w:color w:val="auto"/>
        </w:rPr>
        <w:t>CUSIP NO. 04208T108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000"/>
          </w:cols>
          <w:pgMar w:left="459" w:top="244" w:right="1440" w:bottom="0" w:gutter="0" w:footer="0" w:header="0"/>
        </w:sectPr>
      </w:pPr>
    </w:p>
    <w:p>
      <w:pPr>
        <w:spacing w:after="0" w:line="207" w:lineRule="exact"/>
        <w:rPr>
          <w:sz w:val="24"/>
          <w:szCs w:val="24"/>
          <w:color w:val="auto"/>
        </w:rPr>
      </w:pPr>
    </w:p>
    <w:p>
      <w:pPr>
        <w:jc w:val="center"/>
        <w:ind w:left="641"/>
        <w:spacing w:after="0"/>
        <w:rPr>
          <w:sz w:val="20"/>
          <w:szCs w:val="20"/>
          <w:color w:val="auto"/>
        </w:rPr>
      </w:pPr>
      <w:r>
        <w:rPr>
          <w:rFonts w:ascii="Courier New" w:cs="Courier New" w:eastAsia="Courier New" w:hAnsi="Courier New"/>
          <w:sz w:val="16"/>
          <w:szCs w:val="16"/>
          <w:color w:val="auto"/>
        </w:rPr>
        <w:t>AllianceBernstein LP</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13-3434400</w:t>
      </w:r>
    </w:p>
    <w:p>
      <w:pPr>
        <w:spacing w:after="0" w:line="200" w:lineRule="exact"/>
        <w:rPr>
          <w:sz w:val="24"/>
          <w:szCs w:val="24"/>
          <w:color w:val="auto"/>
        </w:rPr>
      </w:pPr>
    </w:p>
    <w:p>
      <w:pPr>
        <w:sectPr>
          <w:pgSz w:w="11900" w:h="16838" w:orient="portrait"/>
          <w:cols w:equalWidth="0" w:num="2">
            <w:col w:w="2741" w:space="620"/>
            <w:col w:w="6639"/>
          </w:cols>
          <w:pgMar w:left="459" w:top="244" w:right="1440" w:bottom="0" w:gutter="0" w:footer="0" w:header="0"/>
          <w:type w:val="continuous"/>
        </w:sectPr>
      </w:pPr>
    </w:p>
    <w:p>
      <w:pPr>
        <w:spacing w:after="0" w:line="2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200" w:lineRule="exact"/>
        <w:rPr>
          <w:sz w:val="24"/>
          <w:szCs w:val="24"/>
          <w:color w:val="auto"/>
        </w:rPr>
      </w:pPr>
    </w:p>
    <w:p>
      <w:pPr>
        <w:sectPr>
          <w:pgSz w:w="11900" w:h="16838" w:orient="portrait"/>
          <w:cols w:equalWidth="0" w:num="2">
            <w:col w:w="6541" w:space="720"/>
            <w:col w:w="2739"/>
          </w:cols>
          <w:pgMar w:left="459" w:top="244" w:right="1440" w:bottom="0" w:gutter="0" w:footer="0" w:header="0"/>
          <w:type w:val="continuous"/>
        </w:sectPr>
      </w:pPr>
    </w:p>
    <w:p>
      <w:pPr>
        <w:spacing w:after="0" w:line="18" w:lineRule="exact"/>
        <w:rPr>
          <w:sz w:val="24"/>
          <w:szCs w:val="24"/>
          <w:color w:val="auto"/>
        </w:rPr>
      </w:pPr>
    </w:p>
    <w:p>
      <w:pPr>
        <w:ind w:left="321" w:hanging="321"/>
        <w:spacing w:after="0"/>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1" w:right="5899" w:hanging="321"/>
        <w:spacing w:after="0" w:line="235" w:lineRule="auto"/>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0" w:lineRule="exact"/>
        <w:rPr>
          <w:sz w:val="24"/>
          <w:szCs w:val="24"/>
          <w:color w:val="auto"/>
        </w:rPr>
      </w:pPr>
    </w:p>
    <w:p>
      <w:pPr>
        <w:spacing w:after="0" w:line="205"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NUMBER OF SHARES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1,404,722</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 OF</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 2013</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1,515,983</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6"/>
              </w:rPr>
              <w:t>9. AGGREGATE AMOUNT</w:t>
            </w:r>
          </w:p>
        </w:tc>
        <w:tc>
          <w:tcPr>
            <w:tcW w:w="4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1,515,983</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type w:val="continuous"/>
        </w:sectPr>
      </w:pPr>
    </w:p>
    <w:bookmarkStart w:id="1" w:name="page2"/>
    <w:bookmarkEnd w:id="1"/>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50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w:t>
            </w:r>
          </w:p>
        </w:tc>
      </w:tr>
      <w:tr>
        <w:trPr>
          <w:trHeight w:val="810"/>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w:t>
            </w:r>
          </w:p>
        </w:tc>
      </w:tr>
    </w:tbl>
    <w:p>
      <w:pPr>
        <w:spacing w:after="0" w:line="207" w:lineRule="exact"/>
        <w:rPr>
          <w:sz w:val="20"/>
          <w:szCs w:val="20"/>
          <w:color w:val="auto"/>
        </w:rPr>
      </w:pPr>
    </w:p>
    <w:p>
      <w:pPr>
        <w:ind w:left="427" w:right="6939" w:hanging="427"/>
        <w:spacing w:after="0" w:line="235"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04208T108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419"/>
        <w:spacing w:after="0"/>
        <w:rPr>
          <w:sz w:val="20"/>
          <w:szCs w:val="20"/>
          <w:color w:val="auto"/>
        </w:rPr>
      </w:pP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ectPr>
          <w:pgSz w:w="11900" w:h="16838" w:orient="portrait"/>
          <w:cols w:equalWidth="0" w:num="3">
            <w:col w:w="2660" w:space="720"/>
            <w:col w:w="1920" w:space="720"/>
            <w:col w:w="4199"/>
          </w:cols>
          <w:pgMar w:left="240" w:top="723"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ARMADA HOFFLER PROPERTIES INC</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222 CENTRAL PARK AVENUE, SUITE 2100</w:t>
      </w:r>
    </w:p>
    <w:p>
      <w:pPr>
        <w:ind w:left="1060"/>
        <w:spacing w:after="0"/>
        <w:rPr>
          <w:sz w:val="20"/>
          <w:szCs w:val="20"/>
          <w:color w:val="auto"/>
        </w:rPr>
      </w:pPr>
      <w:r>
        <w:rPr>
          <w:rFonts w:ascii="Courier New" w:cs="Courier New" w:eastAsia="Courier New" w:hAnsi="Courier New"/>
          <w:sz w:val="18"/>
          <w:szCs w:val="18"/>
          <w:color w:val="auto"/>
        </w:rPr>
        <w:t>VIRGINIA BEACH, VIRGINIA 23462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Person Filing and Address of Principal Business Office: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AllianceBernstein L.P</w:t>
      </w:r>
    </w:p>
    <w:p>
      <w:pPr>
        <w:ind w:left="1060"/>
        <w:spacing w:after="0" w:line="238" w:lineRule="auto"/>
        <w:rPr>
          <w:sz w:val="20"/>
          <w:szCs w:val="20"/>
          <w:color w:val="auto"/>
        </w:rPr>
      </w:pPr>
      <w:r>
        <w:rPr>
          <w:rFonts w:ascii="Courier New" w:cs="Courier New" w:eastAsia="Courier New" w:hAnsi="Courier New"/>
          <w:sz w:val="18"/>
          <w:szCs w:val="18"/>
          <w:color w:val="auto"/>
        </w:rPr>
        <w:t>1345 Avenue of the Americas</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NewYork, N.Y.</w:t>
      </w:r>
      <w:r>
        <w:rPr>
          <w:sz w:val="20"/>
          <w:szCs w:val="20"/>
          <w:color w:val="auto"/>
        </w:rPr>
        <w:tab/>
      </w:r>
      <w:r>
        <w:rPr>
          <w:rFonts w:ascii="Courier New" w:cs="Courier New" w:eastAsia="Courier New" w:hAnsi="Courier New"/>
          <w:sz w:val="16"/>
          <w:szCs w:val="16"/>
          <w:color w:val="auto"/>
        </w:rPr>
        <w:t>10105</w:t>
      </w:r>
    </w:p>
    <w:p>
      <w:pPr>
        <w:spacing w:after="0" w:line="200" w:lineRule="exact"/>
        <w:rPr>
          <w:sz w:val="20"/>
          <w:szCs w:val="20"/>
          <w:color w:val="auto"/>
        </w:rPr>
      </w:pPr>
    </w:p>
    <w:p>
      <w:pPr>
        <w:spacing w:after="0" w:line="209" w:lineRule="exact"/>
        <w:rPr>
          <w:sz w:val="20"/>
          <w:szCs w:val="20"/>
          <w:color w:val="auto"/>
        </w:rPr>
      </w:pPr>
    </w:p>
    <w:p>
      <w:pPr>
        <w:jc w:val="both"/>
        <w:ind w:left="120" w:right="2419"/>
        <w:spacing w:after="0" w:line="236" w:lineRule="auto"/>
        <w:rPr>
          <w:sz w:val="20"/>
          <w:szCs w:val="20"/>
          <w:color w:val="auto"/>
        </w:rPr>
      </w:pPr>
      <w:r>
        <w:rPr>
          <w:rFonts w:ascii="Courier New" w:cs="Courier New" w:eastAsia="Courier New" w:hAnsi="Courier New"/>
          <w:sz w:val="18"/>
          <w:szCs w:val="18"/>
          <w:color w:val="auto"/>
        </w:rPr>
        <w:t>(All media outlets, please contact Andrea Prochniak at AllianceBernstein (212-756-4542) with any questions. All other questions can be directed to Section13USFilings@alliancebernstein.com.)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 NEW</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04208T108</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Registered Investment Advisor</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3700"/>
        <w:spacing w:after="0"/>
        <w:tabs>
          <w:tab w:leader="none" w:pos="63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12/31/2013</w:t>
      </w:r>
    </w:p>
    <w:p>
      <w:pPr>
        <w:spacing w:after="0" w:line="207" w:lineRule="exact"/>
        <w:rPr>
          <w:sz w:val="20"/>
          <w:szCs w:val="20"/>
          <w:color w:val="auto"/>
        </w:rPr>
      </w:pPr>
    </w:p>
    <w:p>
      <w:pPr>
        <w:ind w:left="1060" w:right="2739" w:hanging="420"/>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1,515,983 shares of common stock acquired solely for investment purposes on behalf of client discretionary investment advisory accounts*</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7.9%</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AllianceBernstein</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1,404,722</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1,515,983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Securities and Exchange Commission in Release Number 34-39538 (January 12, 1998).</w:t>
      </w:r>
    </w:p>
    <w:p>
      <w:pPr>
        <w:spacing w:after="0" w:line="211"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AllianceBernstein may be deemed to share beneficial ownership with AXA reporting persons by virtue of 0 shares of common stock acquired on</w:t>
      </w:r>
    </w:p>
    <w:p>
      <w:pPr>
        <w:ind w:right="1879"/>
        <w:spacing w:after="0" w:line="237" w:lineRule="auto"/>
        <w:rPr>
          <w:sz w:val="20"/>
          <w:szCs w:val="20"/>
          <w:color w:val="auto"/>
        </w:rPr>
      </w:pPr>
      <w:r>
        <w:rPr>
          <w:rFonts w:ascii="Courier New" w:cs="Courier New" w:eastAsia="Courier New" w:hAnsi="Courier New"/>
          <w:sz w:val="18"/>
          <w:szCs w:val="18"/>
          <w:color w:val="auto"/>
        </w:rPr>
        <w:t>behalf of the general and special accounts of the affiliated entities for which AllianceBernstein serves as a subadvisor. Each of AllianceBernstein and the AXA entities reporting herein acquired their shares of common stock for investment purposes in the ordinary course of their investment management and insurance businesses.</w:t>
      </w:r>
    </w:p>
    <w:p>
      <w:pPr>
        <w:sectPr>
          <w:pgSz w:w="11900" w:h="16838" w:orient="portrait"/>
          <w:cols w:equalWidth="0" w:num="1">
            <w:col w:w="10219"/>
          </w:cols>
          <w:pgMar w:left="240" w:top="514"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this statement is being filed to report the fact that as of the date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hereof the reporting person has ceased to be the beneficial owner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more than five percent of the class of securities, check the following.</w:t>
      </w:r>
    </w:p>
    <w:p>
      <w:pPr>
        <w:spacing w:after="0" w:line="2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7600" w:space="200"/>
            <w:col w:w="2419"/>
          </w:cols>
          <w:pgMar w:left="240" w:top="717" w:right="1440" w:bottom="1440" w:gutter="0" w:footer="0" w:header="0"/>
          <w:type w:val="continuous"/>
        </w:sectPr>
      </w:pPr>
    </w:p>
    <w:p>
      <w:pPr>
        <w:spacing w:after="0" w:line="24" w:lineRule="exact"/>
        <w:rPr>
          <w:sz w:val="20"/>
          <w:szCs w:val="20"/>
          <w:color w:val="auto"/>
        </w:rPr>
      </w:pPr>
    </w:p>
    <w:p>
      <w:pPr>
        <w:ind w:left="860"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54" w:lineRule="exact"/>
        <w:rPr>
          <w:sz w:val="20"/>
          <w:szCs w:val="20"/>
          <w:color w:val="auto"/>
        </w:rPr>
      </w:pPr>
    </w:p>
    <w:p>
      <w:pPr>
        <w:sectPr>
          <w:pgSz w:w="11900" w:h="16838" w:orient="portrait"/>
          <w:cols w:equalWidth="0" w:num="2">
            <w:col w:w="7800" w:space="0"/>
            <w:col w:w="2419"/>
          </w:cols>
          <w:pgMar w:left="240" w:top="717" w:right="144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6960" w:space="640"/>
            <w:col w:w="26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740" w:space="220"/>
            <w:col w:w="5920" w:space="720"/>
            <w:col w:w="26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29, 2014, ALLIANCEBERNSTEIN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Laurence Bertan</w:t>
      </w:r>
    </w:p>
    <w:p>
      <w:pPr>
        <w:spacing w:after="0" w:line="201"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Laurence Bertan</w:t>
      </w:r>
    </w:p>
    <w:p>
      <w:pPr>
        <w:ind w:left="2960"/>
        <w:spacing w:after="0" w:line="238" w:lineRule="auto"/>
        <w:rPr>
          <w:sz w:val="20"/>
          <w:szCs w:val="20"/>
          <w:color w:val="auto"/>
        </w:rPr>
      </w:pPr>
      <w:r>
        <w:rPr>
          <w:rFonts w:ascii="Courier New" w:cs="Courier New" w:eastAsia="Courier New" w:hAnsi="Courier New"/>
          <w:sz w:val="18"/>
          <w:szCs w:val="18"/>
          <w:color w:val="auto"/>
        </w:rPr>
        <w:t>Title: SVP and Head of Regulatory Reporting</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2"/>
    </w:lvl>
    <w:lvl w:ilvl="1">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2019-12-21T04:45:12Z</dcterms:created>
  <dcterms:modified xsi:type="dcterms:W3CDTF">2019-12-21T04:45:12Z</dcterms:modified>
</cp:coreProperties>
</file>