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6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RULES 13d-1(b) (c), and (d) AND AMENDMENTS THERETO FILED PURSUANT TO RULE 13d-2(b)</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Armada Hoffler Properties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04208T108</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04208T108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18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AEW Capital Management, L.P.</w:t>
      </w:r>
    </w:p>
    <w:p>
      <w:pPr>
        <w:spacing w:after="0" w:line="399"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-945515</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-1159510</wp:posOffset>
            </wp:positionV>
            <wp:extent cx="5874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73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907,839</w:t>
            </w:r>
          </w:p>
        </w:tc>
        <w:tc>
          <w:tcPr>
            <w:tcW w:w="0" w:type="dxa"/>
            <w:vAlign w:val="bottom"/>
          </w:tcPr>
          <w:p>
            <w:pPr>
              <w:spacing w:after="0"/>
              <w:rPr>
                <w:sz w:val="1"/>
                <w:szCs w:val="1"/>
                <w:color w:val="auto"/>
              </w:rPr>
            </w:pPr>
          </w:p>
        </w:tc>
      </w:tr>
      <w:tr>
        <w:trPr>
          <w:trHeight w:val="68"/>
        </w:trPr>
        <w:tc>
          <w:tcPr>
            <w:tcW w:w="12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tcPr>
          <w:p>
            <w:pPr>
              <w:jc w:val="right"/>
              <w:ind w:right="73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Reporting</w:t>
            </w: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68"/>
        </w:trPr>
        <w:tc>
          <w:tcPr>
            <w:tcW w:w="12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8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6" w:right="239" w:bottom="265" w:gutter="0" w:footer="0" w:header="0"/>
        </w:sectPr>
      </w:pPr>
    </w:p>
    <w:bookmarkStart w:id="1" w:name="page2"/>
    <w:bookmarkEnd w:id="1"/>
    <w:p>
      <w:pPr>
        <w:ind w:left="2700" w:right="5759"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1,017,739</w:t>
      </w:r>
    </w:p>
    <w:p>
      <w:pPr>
        <w:spacing w:after="0" w:line="386" w:lineRule="exact"/>
        <w:rPr>
          <w:rFonts w:ascii="Arial" w:cs="Arial" w:eastAsia="Arial" w:hAnsi="Arial"/>
          <w:sz w:val="18"/>
          <w:szCs w:val="18"/>
          <w:color w:val="auto"/>
        </w:rPr>
      </w:pPr>
    </w:p>
    <w:p>
      <w:pPr>
        <w:ind w:left="2700" w:right="5579"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None</w:t>
      </w:r>
    </w:p>
    <w:p>
      <w:pPr>
        <w:spacing w:after="0" w:line="386" w:lineRule="exact"/>
        <w:rPr>
          <w:rFonts w:ascii="Arial" w:cs="Arial" w:eastAsia="Arial" w:hAnsi="Arial"/>
          <w:sz w:val="18"/>
          <w:szCs w:val="18"/>
          <w:color w:val="auto"/>
        </w:rPr>
      </w:pPr>
    </w:p>
    <w:p>
      <w:pPr>
        <w:ind w:left="1000" w:right="4359"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1,017,739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7.02%</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-2017395</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-2566035</wp:posOffset>
            </wp:positionV>
            <wp:extent cx="55314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CUSIP No. 04208T108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00" w:right="4979"/>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AEW Capital Management, Inc.</w:t>
      </w:r>
    </w:p>
    <w:p>
      <w:pPr>
        <w:spacing w:after="0" w:line="399"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39" w:hanging="620"/>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-945515</wp:posOffset>
            </wp:positionV>
            <wp:extent cx="58743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-1159510</wp:posOffset>
            </wp:positionV>
            <wp:extent cx="58743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-1777365</wp:posOffset>
            </wp:positionV>
            <wp:extent cx="6612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179" w:right="1440" w:bottom="0" w:gutter="0" w:footer="0" w:header="0"/>
        </w:sect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907,839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1,017,739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179" w:right="1440" w:bottom="0" w:gutter="0" w:footer="0" w:header="0"/>
          <w:type w:val="continuous"/>
        </w:sectPr>
      </w:pPr>
    </w:p>
    <w:p>
      <w:pPr>
        <w:spacing w:after="0" w:line="227" w:lineRule="exact"/>
        <w:rPr>
          <w:sz w:val="20"/>
          <w:szCs w:val="20"/>
          <w:color w:val="auto"/>
        </w:rPr>
      </w:pPr>
    </w:p>
    <w:p>
      <w:pPr>
        <w:ind w:left="1000" w:right="4359" w:hanging="620"/>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1,017,739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-945515</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179" w:right="1440" w:bottom="0" w:gutter="0" w:footer="0" w:header="0"/>
          <w:type w:val="continuous"/>
        </w:sectPr>
      </w:pPr>
    </w:p>
    <w:p>
      <w:pPr>
        <w:spacing w:after="0" w:line="387" w:lineRule="exact"/>
        <w:rPr>
          <w:sz w:val="20"/>
          <w:szCs w:val="20"/>
          <w:color w:val="auto"/>
        </w:rPr>
      </w:pPr>
    </w:p>
    <w:p>
      <w:pPr>
        <w:ind w:left="1000" w:hanging="620"/>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ectPr>
          <w:pgSz w:w="11900" w:h="16838" w:orient="portrait"/>
          <w:cols w:equalWidth="0" w:num="1">
            <w:col w:w="10159"/>
          </w:cols>
          <w:pgMar w:left="300" w:top="179" w:right="1440" w:bottom="0" w:gutter="0" w:footer="0" w:header="0"/>
          <w:type w:val="continuous"/>
        </w:sectPr>
      </w:pPr>
    </w:p>
    <w:bookmarkStart w:id="2" w:name="page3"/>
    <w:bookmarkEnd w:id="2"/>
    <w:p>
      <w:pPr>
        <w:ind w:left="1060"/>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04208T108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60" w:type="dxa"/>
            <w:vAlign w:val="bottom"/>
          </w:tcPr>
          <w:p>
            <w:pPr>
              <w:jc w:val="center"/>
              <w:ind w:right="1350"/>
              <w:spacing w:after="0"/>
              <w:rPr>
                <w:sz w:val="20"/>
                <w:szCs w:val="20"/>
                <w:color w:val="auto"/>
              </w:rPr>
            </w:pPr>
            <w:r>
              <w:rPr>
                <w:rFonts w:ascii="Arial" w:cs="Arial" w:eastAsia="Arial" w:hAnsi="Arial"/>
                <w:sz w:val="18"/>
                <w:szCs w:val="18"/>
                <w:color w:val="auto"/>
                <w:w w:val="94"/>
              </w:rPr>
              <w:t>STATEMENT ON SCHEDULE 13G</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920" w:type="dxa"/>
            <w:vAlign w:val="bottom"/>
          </w:tcPr>
          <w:p>
            <w:pPr>
              <w:ind w:left="60"/>
              <w:spacing w:after="0"/>
              <w:rPr>
                <w:sz w:val="20"/>
                <w:szCs w:val="20"/>
                <w:color w:val="auto"/>
              </w:rPr>
            </w:pPr>
            <w:r>
              <w:rPr>
                <w:rFonts w:ascii="Arial" w:cs="Arial" w:eastAsia="Arial" w:hAnsi="Arial"/>
                <w:sz w:val="18"/>
                <w:szCs w:val="18"/>
                <w:b w:val="1"/>
                <w:bCs w:val="1"/>
                <w:color w:val="auto"/>
              </w:rPr>
              <w:t>Item 1(a).</w:t>
            </w:r>
          </w:p>
        </w:tc>
        <w:tc>
          <w:tcPr>
            <w:tcW w:w="540" w:type="dxa"/>
            <w:vAlign w:val="bottom"/>
          </w:tcPr>
          <w:p>
            <w:pPr>
              <w:spacing w:after="0"/>
              <w:rPr>
                <w:sz w:val="24"/>
                <w:szCs w:val="24"/>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Name of Issuer: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Armada Hoffler Properties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Item 1(b).</w:t>
            </w:r>
          </w:p>
        </w:tc>
        <w:tc>
          <w:tcPr>
            <w:tcW w:w="540" w:type="dxa"/>
            <w:vAlign w:val="bottom"/>
          </w:tcPr>
          <w:p>
            <w:pPr>
              <w:spacing w:after="0"/>
              <w:rPr>
                <w:sz w:val="4"/>
                <w:szCs w:val="4"/>
                <w:color w:val="auto"/>
              </w:rPr>
            </w:pPr>
          </w:p>
        </w:tc>
        <w:tc>
          <w:tcPr>
            <w:tcW w:w="9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92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Address of Issuer’s Principal Executive Offices: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222 Central Park Ave #2100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Virginia Beach, VA 23462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Item 2(a).</w:t>
            </w:r>
          </w:p>
        </w:tc>
        <w:tc>
          <w:tcPr>
            <w:tcW w:w="540" w:type="dxa"/>
            <w:vAlign w:val="bottom"/>
          </w:tcPr>
          <w:p>
            <w:pPr>
              <w:spacing w:after="0"/>
              <w:rPr>
                <w:sz w:val="4"/>
                <w:szCs w:val="4"/>
                <w:color w:val="auto"/>
              </w:rPr>
            </w:pPr>
          </w:p>
        </w:tc>
        <w:tc>
          <w:tcPr>
            <w:tcW w:w="9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9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Names of Person Filing: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AEW Capital Management, L.P.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AEW Capital Management,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Item 2(b).</w:t>
            </w:r>
          </w:p>
        </w:tc>
        <w:tc>
          <w:tcPr>
            <w:tcW w:w="540" w:type="dxa"/>
            <w:vAlign w:val="bottom"/>
          </w:tcPr>
          <w:p>
            <w:pPr>
              <w:spacing w:after="0"/>
              <w:rPr>
                <w:sz w:val="4"/>
                <w:szCs w:val="4"/>
                <w:color w:val="auto"/>
              </w:rPr>
            </w:pPr>
          </w:p>
        </w:tc>
        <w:tc>
          <w:tcPr>
            <w:tcW w:w="9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92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Business Mailing Address for the Person Filing:</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Two Seaport Lane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Boston, MA 02110-2021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Item 2(c).</w:t>
            </w:r>
          </w:p>
        </w:tc>
        <w:tc>
          <w:tcPr>
            <w:tcW w:w="540" w:type="dxa"/>
            <w:vAlign w:val="bottom"/>
          </w:tcPr>
          <w:p>
            <w:pPr>
              <w:spacing w:after="0"/>
              <w:rPr>
                <w:sz w:val="4"/>
                <w:szCs w:val="4"/>
                <w:color w:val="auto"/>
              </w:rPr>
            </w:pPr>
          </w:p>
        </w:tc>
        <w:tc>
          <w:tcPr>
            <w:tcW w:w="9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92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Citizenship:</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Delaware for AEW Capital Management, L.P.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Massachusetts for AEW Capital Management,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Item 2(d).</w:t>
            </w:r>
          </w:p>
        </w:tc>
        <w:tc>
          <w:tcPr>
            <w:tcW w:w="540" w:type="dxa"/>
            <w:vAlign w:val="bottom"/>
          </w:tcPr>
          <w:p>
            <w:pPr>
              <w:spacing w:after="0"/>
              <w:rPr>
                <w:sz w:val="4"/>
                <w:szCs w:val="4"/>
                <w:color w:val="auto"/>
              </w:rPr>
            </w:pPr>
          </w:p>
        </w:tc>
        <w:tc>
          <w:tcPr>
            <w:tcW w:w="9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92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Title of Class of Securities: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Common Stock</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Item 2(e).</w:t>
            </w:r>
          </w:p>
        </w:tc>
        <w:tc>
          <w:tcPr>
            <w:tcW w:w="540" w:type="dxa"/>
            <w:vAlign w:val="bottom"/>
          </w:tcPr>
          <w:p>
            <w:pPr>
              <w:spacing w:after="0"/>
              <w:rPr>
                <w:sz w:val="4"/>
                <w:szCs w:val="4"/>
                <w:color w:val="auto"/>
              </w:rPr>
            </w:pPr>
          </w:p>
        </w:tc>
        <w:tc>
          <w:tcPr>
            <w:tcW w:w="9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92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CUSIP Number:</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04208T108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4"/>
        </w:trPr>
        <w:tc>
          <w:tcPr>
            <w:tcW w:w="920" w:type="dxa"/>
            <w:vAlign w:val="bottom"/>
          </w:tcPr>
          <w:p>
            <w:pPr>
              <w:ind w:left="60"/>
              <w:spacing w:after="0"/>
              <w:rPr>
                <w:sz w:val="20"/>
                <w:szCs w:val="20"/>
                <w:color w:val="auto"/>
              </w:rPr>
            </w:pPr>
            <w:r>
              <w:rPr>
                <w:rFonts w:ascii="Arial" w:cs="Arial" w:eastAsia="Arial" w:hAnsi="Arial"/>
                <w:sz w:val="18"/>
                <w:szCs w:val="18"/>
                <w:b w:val="1"/>
                <w:bCs w:val="1"/>
                <w:color w:val="auto"/>
              </w:rPr>
              <w:t>Item 3.</w:t>
            </w:r>
          </w:p>
        </w:tc>
        <w:tc>
          <w:tcPr>
            <w:tcW w:w="10500" w:type="dxa"/>
            <w:vAlign w:val="bottom"/>
            <w:gridSpan w:val="2"/>
          </w:tcPr>
          <w:p>
            <w:pPr>
              <w:ind w:left="100"/>
              <w:spacing w:after="0"/>
              <w:rPr>
                <w:sz w:val="20"/>
                <w:szCs w:val="20"/>
                <w:color w:val="auto"/>
              </w:rPr>
            </w:pPr>
            <w:r>
              <w:rPr>
                <w:rFonts w:ascii="Arial" w:cs="Arial" w:eastAsia="Arial" w:hAnsi="Arial"/>
                <w:sz w:val="18"/>
                <w:szCs w:val="18"/>
                <w:b w:val="1"/>
                <w:bCs w:val="1"/>
                <w:color w:val="auto"/>
              </w:rPr>
              <w:t>If this statement is filed pursuant to Rules 13d-1(b), or 13d-2(b), check whether the person filing is 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spacing w:after="0"/>
              <w:rPr>
                <w:sz w:val="24"/>
                <w:szCs w:val="24"/>
                <w:color w:val="auto"/>
              </w:rPr>
            </w:pPr>
          </w:p>
        </w:tc>
        <w:tc>
          <w:tcPr>
            <w:tcW w:w="10500" w:type="dxa"/>
            <w:vAlign w:val="bottom"/>
            <w:gridSpan w:val="2"/>
          </w:tcPr>
          <w:p>
            <w:pPr>
              <w:ind w:left="100"/>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20" w:type="dxa"/>
            <w:vAlign w:val="bottom"/>
          </w:tcPr>
          <w:p>
            <w:pPr>
              <w:spacing w:after="0"/>
              <w:rPr>
                <w:sz w:val="24"/>
                <w:szCs w:val="24"/>
                <w:color w:val="auto"/>
              </w:rPr>
            </w:pPr>
          </w:p>
        </w:tc>
        <w:tc>
          <w:tcPr>
            <w:tcW w:w="10500" w:type="dxa"/>
            <w:vAlign w:val="bottom"/>
            <w:gridSpan w:val="2"/>
          </w:tcPr>
          <w:p>
            <w:pPr>
              <w:jc w:val="right"/>
              <w:ind w:right="557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9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04208T108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75" w:lineRule="exact"/>
        <w:rPr>
          <w:sz w:val="20"/>
          <w:szCs w:val="20"/>
          <w:color w:val="auto"/>
        </w:rPr>
      </w:pPr>
    </w:p>
    <w:p>
      <w:pPr>
        <w:ind w:left="1660" w:hanging="394"/>
        <w:spacing w:after="0"/>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1,017,739 shares of Common Stock</w:t>
      </w:r>
    </w:p>
    <w:p>
      <w:pPr>
        <w:spacing w:after="0" w:line="238" w:lineRule="exact"/>
        <w:rPr>
          <w:rFonts w:ascii="Arial" w:cs="Arial" w:eastAsia="Arial" w:hAnsi="Arial"/>
          <w:sz w:val="18"/>
          <w:szCs w:val="18"/>
          <w:color w:val="auto"/>
        </w:rPr>
      </w:pPr>
    </w:p>
    <w:p>
      <w:pPr>
        <w:ind w:left="1660" w:hanging="400"/>
        <w:spacing w:after="0"/>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owned:</w:t>
      </w:r>
    </w:p>
    <w:p>
      <w:pPr>
        <w:spacing w:after="0" w:line="63"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7.02%</w:t>
      </w:r>
    </w:p>
    <w:p>
      <w:pPr>
        <w:spacing w:after="0" w:line="238" w:lineRule="exact"/>
        <w:rPr>
          <w:rFonts w:ascii="Arial" w:cs="Arial" w:eastAsia="Arial" w:hAnsi="Arial"/>
          <w:sz w:val="18"/>
          <w:szCs w:val="18"/>
          <w:color w:val="auto"/>
        </w:rPr>
      </w:pPr>
    </w:p>
    <w:p>
      <w:pPr>
        <w:ind w:left="1660" w:hanging="394"/>
        <w:spacing w:after="0"/>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255270</wp:posOffset>
            </wp:positionV>
            <wp:extent cx="62344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-198755</wp:posOffset>
            </wp:positionV>
            <wp:extent cx="62344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-653415</wp:posOffset>
            </wp:positionV>
            <wp:extent cx="62344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80" w:right="6320" w:hanging="453"/>
        <w:spacing w:after="0" w:line="412" w:lineRule="auto"/>
        <w:tabs>
          <w:tab w:leader="none" w:pos="2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vote or to direct the vote: 907,839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-13970</wp:posOffset>
            </wp:positionV>
            <wp:extent cx="58400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64" w:lineRule="exact"/>
        <w:rPr>
          <w:sz w:val="20"/>
          <w:szCs w:val="20"/>
          <w:color w:val="auto"/>
        </w:rPr>
      </w:pPr>
    </w:p>
    <w:p>
      <w:pPr>
        <w:ind w:left="2280" w:right="6140" w:hanging="478"/>
        <w:spacing w:after="0" w:line="340" w:lineRule="auto"/>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13970</wp:posOffset>
            </wp:positionV>
            <wp:extent cx="58400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80" w:right="5420" w:hanging="503"/>
        <w:spacing w:after="0" w:line="374" w:lineRule="auto"/>
        <w:tabs>
          <w:tab w:leader="none" w:pos="2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 1,017,739 shares of Common Stock</w:t>
      </w:r>
    </w:p>
    <w:p>
      <w:pPr>
        <w:spacing w:after="0" w:line="106" w:lineRule="exact"/>
        <w:rPr>
          <w:rFonts w:ascii="Arial" w:cs="Arial" w:eastAsia="Arial" w:hAnsi="Arial"/>
          <w:sz w:val="17"/>
          <w:szCs w:val="17"/>
          <w:color w:val="auto"/>
        </w:rPr>
      </w:pPr>
    </w:p>
    <w:p>
      <w:pPr>
        <w:ind w:left="2280" w:right="5240" w:hanging="498"/>
        <w:spacing w:after="0" w:line="340" w:lineRule="auto"/>
        <w:tabs>
          <w:tab w:leader="none" w:pos="2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13970</wp:posOffset>
            </wp:positionV>
            <wp:extent cx="58400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-440055</wp:posOffset>
            </wp:positionV>
            <wp:extent cx="58400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362"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60"/>
          </w:cols>
          <w:pgMar w:left="240" w:top="125" w:right="199" w:bottom="0" w:gutter="0" w:footer="0" w:header="0"/>
        </w:sectPr>
      </w:pPr>
    </w:p>
    <w:bookmarkStart w:id="3" w:name="page4"/>
    <w:bookmarkEnd w:id="3"/>
    <w:p>
      <w:pPr>
        <w:ind w:left="6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80" w:right="800" w:hanging="1120"/>
        <w:spacing w:after="0" w:line="282" w:lineRule="auto"/>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jc w:val="both"/>
        <w:ind w:left="1180" w:right="22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2014</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AEW CAPITAL MANAGEMENT, L.P.</w:t>
      </w:r>
    </w:p>
    <w:p>
      <w:pPr>
        <w:spacing w:after="0" w:line="211" w:lineRule="exact"/>
        <w:rPr>
          <w:sz w:val="20"/>
          <w:szCs w:val="20"/>
          <w:color w:val="auto"/>
        </w:rPr>
      </w:pPr>
    </w:p>
    <w:p>
      <w:pPr>
        <w:jc w:val="center"/>
        <w:ind w:left="5660"/>
        <w:spacing w:after="0"/>
        <w:tabs>
          <w:tab w:leader="none" w:pos="200" w:val="left"/>
        </w:tabs>
        <w:rPr>
          <w:sz w:val="20"/>
          <w:szCs w:val="20"/>
          <w:color w:val="auto"/>
        </w:rPr>
      </w:pPr>
      <w:r>
        <w:rPr>
          <w:rFonts w:ascii="Arial" w:cs="Arial" w:eastAsia="Arial" w:hAnsi="Arial"/>
          <w:sz w:val="18"/>
          <w:szCs w:val="18"/>
          <w:color w:val="auto"/>
        </w:rPr>
        <w:t>By:</w:t>
        <w:tab/>
        <w:t>AEW Capital Management, Inc., its</w:t>
      </w:r>
    </w:p>
    <w:p>
      <w:pPr>
        <w:spacing w:after="0" w:line="23" w:lineRule="exact"/>
        <w:rPr>
          <w:sz w:val="20"/>
          <w:szCs w:val="20"/>
          <w:color w:val="auto"/>
        </w:rPr>
      </w:pPr>
    </w:p>
    <w:p>
      <w:pPr>
        <w:jc w:val="center"/>
        <w:ind w:left="320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740"/>
        <w:spacing w:after="0"/>
        <w:tabs>
          <w:tab w:leader="none" w:pos="6200" w:val="left"/>
        </w:tabs>
        <w:rPr>
          <w:sz w:val="20"/>
          <w:szCs w:val="20"/>
          <w:color w:val="auto"/>
        </w:rPr>
      </w:pPr>
      <w:r>
        <w:rPr>
          <w:rFonts w:ascii="Arial" w:cs="Arial" w:eastAsia="Arial" w:hAnsi="Arial"/>
          <w:sz w:val="18"/>
          <w:szCs w:val="18"/>
          <w:color w:val="auto"/>
        </w:rPr>
        <w:t>By:</w:t>
        <w:tab/>
        <w:t>/s/ James J. Finnegan</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 James J. Finnegan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AEW CAPITAL MANAGEMENT, INC.</w:t>
      </w:r>
    </w:p>
    <w:p>
      <w:pPr>
        <w:spacing w:after="0" w:line="225" w:lineRule="exact"/>
        <w:rPr>
          <w:sz w:val="20"/>
          <w:szCs w:val="20"/>
          <w:color w:val="auto"/>
        </w:rPr>
      </w:pPr>
    </w:p>
    <w:p>
      <w:pPr>
        <w:ind w:left="5740"/>
        <w:spacing w:after="0"/>
        <w:tabs>
          <w:tab w:leader="none" w:pos="6200" w:val="left"/>
        </w:tabs>
        <w:rPr>
          <w:sz w:val="20"/>
          <w:szCs w:val="20"/>
          <w:color w:val="auto"/>
        </w:rPr>
      </w:pPr>
      <w:r>
        <w:rPr>
          <w:rFonts w:ascii="Arial" w:cs="Arial" w:eastAsia="Arial" w:hAnsi="Arial"/>
          <w:sz w:val="18"/>
          <w:szCs w:val="18"/>
          <w:color w:val="auto"/>
        </w:rPr>
        <w:t>By:</w:t>
        <w:tab/>
        <w:t>/s/ James J. Finnegan</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 James J. Finnegan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20" w:firstLine="1170"/>
        <w:spacing w:after="0" w:line="302" w:lineRule="auto"/>
        <w:rPr>
          <w:sz w:val="20"/>
          <w:szCs w:val="20"/>
          <w:color w:val="auto"/>
        </w:rPr>
      </w:pPr>
      <w:r>
        <w:rPr>
          <w:rFonts w:ascii="Arial" w:cs="Arial" w:eastAsia="Arial" w:hAnsi="Arial"/>
          <w:sz w:val="16"/>
          <w:szCs w:val="16"/>
          <w:color w:val="auto"/>
        </w:rPr>
        <w:t>In accordance with Rule 13d-1(k) under the Securities Exchange Act of 1934, as amended, the undersigned agree to the joint filing on behalf of each of them of a statement on Schedule 13G (including amendments thereto) with respect to the Common Stock of Brandywine Realty Trust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In evidence whereof, the undersigned have caused this Agreement to be executed on their behalf this 14th day of February, 2014.</w:t>
      </w:r>
    </w:p>
    <w:p>
      <w:pPr>
        <w:spacing w:after="0" w:line="237" w:lineRule="exact"/>
        <w:rPr>
          <w:sz w:val="20"/>
          <w:szCs w:val="20"/>
          <w:color w:val="auto"/>
        </w:rPr>
      </w:pPr>
    </w:p>
    <w:p>
      <w:pPr>
        <w:jc w:val="center"/>
        <w:ind w:left="2920"/>
        <w:spacing w:after="0"/>
        <w:rPr>
          <w:sz w:val="20"/>
          <w:szCs w:val="20"/>
          <w:color w:val="auto"/>
        </w:rPr>
      </w:pPr>
      <w:r>
        <w:rPr>
          <w:rFonts w:ascii="Arial" w:cs="Arial" w:eastAsia="Arial" w:hAnsi="Arial"/>
          <w:sz w:val="18"/>
          <w:szCs w:val="18"/>
          <w:color w:val="auto"/>
        </w:rPr>
        <w:t>AEW CAPITAL MANAGEMENT, L.P.</w:t>
      </w:r>
    </w:p>
    <w:p>
      <w:pPr>
        <w:spacing w:after="0" w:line="23" w:lineRule="exact"/>
        <w:rPr>
          <w:sz w:val="20"/>
          <w:szCs w:val="20"/>
          <w:color w:val="auto"/>
        </w:rPr>
      </w:pPr>
    </w:p>
    <w:p>
      <w:pPr>
        <w:jc w:val="center"/>
        <w:ind w:left="2920"/>
        <w:spacing w:after="0"/>
        <w:rPr>
          <w:sz w:val="20"/>
          <w:szCs w:val="20"/>
          <w:color w:val="auto"/>
        </w:rPr>
      </w:pPr>
      <w:r>
        <w:rPr>
          <w:rFonts w:ascii="Arial" w:cs="Arial" w:eastAsia="Arial" w:hAnsi="Arial"/>
          <w:sz w:val="18"/>
          <w:szCs w:val="18"/>
          <w:color w:val="auto"/>
        </w:rPr>
        <w:t>By: AEW Capital Management, Inc., its</w:t>
      </w:r>
    </w:p>
    <w:p>
      <w:pPr>
        <w:spacing w:after="0" w:line="9" w:lineRule="exact"/>
        <w:rPr>
          <w:sz w:val="20"/>
          <w:szCs w:val="20"/>
          <w:color w:val="auto"/>
        </w:rPr>
      </w:pPr>
    </w:p>
    <w:p>
      <w:pPr>
        <w:jc w:val="center"/>
        <w:ind w:left="296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James J. Finnegan</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 James J. Finnegan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AEW CAPITAL MANAGEMENT, INC.</w:t>
      </w:r>
    </w:p>
    <w:p>
      <w:pPr>
        <w:sectPr>
          <w:pgSz w:w="11900" w:h="16838" w:orient="portrait"/>
          <w:cols w:equalWidth="0" w:num="1">
            <w:col w:w="11340"/>
          </w:cols>
          <w:pgMar w:left="240" w:top="459" w:right="319" w:bottom="0" w:gutter="0" w:footer="0" w:header="0"/>
        </w:sectPr>
      </w:pPr>
    </w:p>
    <w:bookmarkStart w:id="4" w:name="page5"/>
    <w:bookmarkEnd w:id="4"/>
    <w:p>
      <w:pPr>
        <w:ind w:left="4520"/>
        <w:spacing w:after="0"/>
        <w:tabs>
          <w:tab w:leader="none" w:pos="5000" w:val="left"/>
        </w:tabs>
        <w:rPr>
          <w:sz w:val="20"/>
          <w:szCs w:val="20"/>
          <w:color w:val="auto"/>
        </w:rPr>
      </w:pPr>
      <w:r>
        <w:rPr>
          <w:rFonts w:ascii="Arial" w:cs="Arial" w:eastAsia="Arial" w:hAnsi="Arial"/>
          <w:sz w:val="18"/>
          <w:szCs w:val="18"/>
          <w:color w:val="auto"/>
        </w:rPr>
        <w:t>By:</w:t>
        <w:tab/>
        <w:t>/s/ James J. Finnegan</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5"/>
          <w:szCs w:val="15"/>
          <w:color w:val="auto"/>
        </w:rPr>
        <w:t>Name: James J. Finnegan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-108585</wp:posOffset>
            </wp:positionV>
            <wp:extent cx="33020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1"/>
    </w:lvl>
    <w:lvl w:ilvl="1">
      <w:lvlJc w:val="left"/>
      <w:lvlText w:val="(%2)"/>
      <w:numFmt w:val="decimal"/>
      <w:start w:val="7"/>
    </w:lvl>
  </w:abstractNum>
  <w:abstractNum w:abstractNumId="3">
    <w:nsid w:val="79E2A9E3"/>
    <w:multiLevelType w:val="hybridMultilevel"/>
    <w:lvl w:ilvl="0">
      <w:lvlJc w:val="left"/>
      <w:lvlText w:val="(%1)"/>
      <w:numFmt w:val="decimal"/>
      <w:start w:val="9"/>
    </w:lvl>
    <w:lvl w:ilvl="1">
      <w:lvlJc w:val="left"/>
      <w:lvlText w:val="%2"/>
      <w:numFmt w:val="decimal"/>
      <w:start w:val="1"/>
    </w:lvl>
  </w:abstractNum>
  <w:abstractNum w:abstractNumId="4">
    <w:nsid w:val="7545E146"/>
    <w:multiLevelType w:val="hybridMultilevel"/>
    <w:lvl w:ilvl="0">
      <w:lvlJc w:val="left"/>
      <w:lvlText w:val="(%1)"/>
      <w:numFmt w:val="decimal"/>
      <w:start w:val="1"/>
    </w:lvl>
    <w:lvl w:ilvl="1">
      <w:lvlJc w:val="left"/>
      <w:lvlText w:val="(%2)"/>
      <w:numFmt w:val="lowerLetter"/>
      <w:start w:val="1"/>
    </w:lvl>
  </w:abstractNum>
  <w:abstractNum w:abstractNumId="5">
    <w:nsid w:val="515F007C"/>
    <w:multiLevelType w:val="hybridMultilevel"/>
    <w:lvl w:ilvl="0">
      <w:lvlJc w:val="left"/>
      <w:lvlText w:val="(%1)"/>
      <w:numFmt w:val="decimal"/>
      <w:start w:val="9"/>
    </w:lvl>
  </w:abstractNum>
  <w:abstractNum w:abstractNumId="6">
    <w:nsid w:val="5BD062C2"/>
    <w:multiLevelType w:val="hybridMultilevel"/>
    <w:lvl w:ilvl="0">
      <w:lvlJc w:val="left"/>
      <w:lvlText w:val="(%1)"/>
      <w:numFmt w:val="decimal"/>
      <w:start w:val="12"/>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2020-01-26T01:44:13Z</dcterms:created>
  <dcterms:modified xsi:type="dcterms:W3CDTF">2020-01-26T01:44:13Z</dcterms:modified>
</cp:coreProperties>
</file>