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107315</wp:posOffset>
            </wp:positionV>
            <wp:extent cx="15944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May 22, 2026</w:t>
      </w:r>
    </w:p>
    <w:p>
      <w:pPr>
        <w:spacing w:after="0" w:line="2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AH REALTY TRUST,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00"/>
          </w:cols>
          <w:pgMar w:left="320" w:top="983" w:right="379" w:bottom="1440" w:gutter="0" w:footer="0" w:header="0"/>
        </w:sectPr>
      </w:pPr>
    </w:p>
    <w:p>
      <w:pPr>
        <w:spacing w:after="0" w:line="336"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7"/>
          <w:szCs w:val="17"/>
          <w:b w:val="1"/>
          <w:bCs w:val="1"/>
          <w:color w:val="auto"/>
        </w:rPr>
        <w:t>001-35908</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46-1214914</w:t>
      </w:r>
    </w:p>
    <w:p>
      <w:pPr>
        <w:spacing w:after="0" w:line="31" w:lineRule="exact"/>
        <w:rPr>
          <w:sz w:val="24"/>
          <w:szCs w:val="24"/>
          <w:color w:val="auto"/>
        </w:rPr>
      </w:pPr>
    </w:p>
    <w:p>
      <w:pPr>
        <w:sectPr>
          <w:pgSz w:w="11900" w:h="16838" w:orient="portrait"/>
          <w:cols w:equalWidth="0" w:num="3">
            <w:col w:w="4580" w:space="720"/>
            <w:col w:w="2800" w:space="720"/>
            <w:col w:w="2380"/>
          </w:cols>
          <w:pgMar w:left="320" w:top="983" w:right="37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84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60" w:space="720"/>
            <w:col w:w="2640" w:space="720"/>
            <w:col w:w="3060"/>
          </w:cols>
          <w:pgMar w:left="320" w:top="983" w:right="379" w:bottom="1440" w:gutter="0" w:footer="0" w:header="0"/>
          <w:type w:val="continuous"/>
        </w:sectPr>
      </w:pPr>
    </w:p>
    <w:p>
      <w:pPr>
        <w:spacing w:after="0" w:line="269"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4605 Columbus St. ,</w:t>
      </w:r>
    </w:p>
    <w:p>
      <w:pPr>
        <w:spacing w:after="0" w:line="31"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Virginia Beach , Virginia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23462</w:t>
      </w:r>
    </w:p>
    <w:p>
      <w:pPr>
        <w:spacing w:after="0" w:line="43" w:lineRule="exact"/>
        <w:rPr>
          <w:sz w:val="24"/>
          <w:szCs w:val="24"/>
          <w:color w:val="auto"/>
        </w:rPr>
      </w:pPr>
    </w:p>
    <w:p>
      <w:pPr>
        <w:sectPr>
          <w:pgSz w:w="11900" w:h="16838" w:orient="portrait"/>
          <w:cols w:equalWidth="0" w:num="2">
            <w:col w:w="8260" w:space="720"/>
            <w:col w:w="2220"/>
          </w:cols>
          <w:pgMar w:left="320" w:top="983" w:right="379"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8120" w:space="720"/>
            <w:col w:w="2360"/>
          </w:cols>
          <w:pgMar w:left="320" w:top="983" w:right="379" w:bottom="1440" w:gutter="0" w:footer="0" w:header="0"/>
          <w:type w:val="continuous"/>
        </w:sectPr>
      </w:pPr>
    </w:p>
    <w:p>
      <w:pPr>
        <w:spacing w:after="0" w:line="1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(757) 366-4000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30"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3" w:lineRule="exact"/>
        <w:rPr>
          <w:sz w:val="24"/>
          <w:szCs w:val="24"/>
          <w:color w:val="auto"/>
        </w:rPr>
      </w:pPr>
    </w:p>
    <w:tbl>
      <w:tblPr>
        <w:tblLayout w:type="fixed"/>
        <w:tblInd w:w="60" w:type="dxa"/>
        <w:tblCellMar>
          <w:top w:w="0" w:type="dxa"/>
          <w:left w:w="0" w:type="dxa"/>
          <w:bottom w:w="0" w:type="dxa"/>
          <w:right w:w="0" w:type="dxa"/>
        </w:tblCellMar>
      </w:tblPr>
      <w:tr>
        <w:trPr>
          <w:trHeight w:val="190"/>
        </w:trPr>
        <w:tc>
          <w:tcPr>
            <w:tcW w:w="376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04"/>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100" w:type="dxa"/>
            <w:vAlign w:val="bottom"/>
          </w:tcPr>
          <w:p>
            <w:pPr>
              <w:spacing w:after="0"/>
              <w:rPr>
                <w:sz w:val="17"/>
                <w:szCs w:val="17"/>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AHRT</w:t>
            </w:r>
          </w:p>
        </w:tc>
        <w:tc>
          <w:tcPr>
            <w:tcW w:w="100" w:type="dxa"/>
            <w:vAlign w:val="bottom"/>
          </w:tcPr>
          <w:p>
            <w:pPr>
              <w:spacing w:after="0"/>
              <w:rPr>
                <w:sz w:val="17"/>
                <w:szCs w:val="17"/>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168"/>
        </w:trPr>
        <w:tc>
          <w:tcPr>
            <w:tcW w:w="376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color w:val="auto"/>
              </w:rPr>
              <w:t>6.75% Series A Cumulative Redeemable Perpetual</w:t>
            </w:r>
          </w:p>
        </w:tc>
        <w:tc>
          <w:tcPr>
            <w:tcW w:w="366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6"/>
                <w:szCs w:val="16"/>
                <w:color w:val="auto"/>
                <w:w w:val="98"/>
              </w:rPr>
              <w:t>AHRTPrA</w:t>
            </w:r>
          </w:p>
        </w:tc>
        <w:tc>
          <w:tcPr>
            <w:tcW w:w="37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New York Stock Exchange</w:t>
            </w:r>
          </w:p>
        </w:tc>
      </w:tr>
      <w:tr>
        <w:trPr>
          <w:trHeight w:val="21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per share</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spacing w:after="0"/>
              <w:rPr>
                <w:sz w:val="18"/>
                <w:szCs w:val="18"/>
                <w:color w:val="auto"/>
              </w:rPr>
            </w:pPr>
          </w:p>
        </w:tc>
      </w:tr>
    </w:tbl>
    <w:p>
      <w:pPr>
        <w:spacing w:after="0" w:line="2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4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As previously disclosed, on March 13, 2026, AH Realty Trust, Inc. (the “Company”) entered into a purchase and sale agreement with an unrelated third party to sell 11 of the Company’s 14 multifamily properties for an aggregate purchase price of approximately $562.0 million (the “Multifamily Disposition”).</w:t>
      </w:r>
    </w:p>
    <w:p>
      <w:pPr>
        <w:spacing w:after="0" w:line="204"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18"/>
          <w:szCs w:val="18"/>
          <w:color w:val="auto"/>
        </w:rPr>
        <w:t>On May 20, 2026, the Company completed the disposition of nine of 11 properties to be sold pursuant the Multifamily Disposition for aggregate proceeds of approximately $485.0 million (the “First Closing”). The First Closing consisted of the disposition of the following properties: (1) Encore Apartments, (2) The Cosmopolitan, (3) Allied | Harbor Point, (4) 1405 Point, (5) 1305 Dock Street, (6) Chronicle Mill Apartments, (7) Chandler Residences, (8) The Edison and (9) Liberty Apartments.</w:t>
      </w:r>
    </w:p>
    <w:p>
      <w:pPr>
        <w:spacing w:after="0" w:line="212"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 Company expects to complete the disposition of Greenside Apartments by the end of 2026 and the disposition of Premier Apartments by mid-2027. There can be no assurance that the Company will complete the Second Closing on the timeline described herein or at all, or that the Company will realize the expected benefits of the Multifamily Disposition in part or at all. For additional information regarding the Multifamily Disposition, see the Current Report on Form 8-K previously filed by the Company on March 16, 2026.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13, 2026, the Company issued a press release announcing the First Closing. A copy of the press release is furnished as Exhibit 99.1 to this Current Report on Form 8-K and is incorporated herein by reference.</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information contained in Item 7.01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financial information of the Company required pursuant to Article 11 of Regulation S-X is attached as Exhibit 99.2 hereto and is</w:t>
      </w:r>
    </w:p>
    <w:p>
      <w:pPr>
        <w:spacing w:after="0" w:line="234" w:lineRule="auto"/>
        <w:rPr>
          <w:sz w:val="20"/>
          <w:szCs w:val="20"/>
          <w:color w:val="auto"/>
        </w:rPr>
      </w:pPr>
      <w:r>
        <w:rPr>
          <w:rFonts w:ascii="Times New Roman" w:cs="Times New Roman" w:eastAsia="Times New Roman" w:hAnsi="Times New Roman"/>
          <w:sz w:val="18"/>
          <w:szCs w:val="18"/>
          <w:color w:val="auto"/>
        </w:rPr>
        <w:t>incorporated by reference 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640" w:type="dxa"/>
            <w:vAlign w:val="bottom"/>
          </w:tcPr>
          <w:p>
            <w:pPr>
              <w:spacing w:after="0"/>
              <w:rPr>
                <w:sz w:val="16"/>
                <w:szCs w:val="16"/>
                <w:color w:val="auto"/>
              </w:rPr>
            </w:pPr>
          </w:p>
        </w:tc>
        <w:tc>
          <w:tcPr>
            <w:tcW w:w="9820" w:type="dxa"/>
            <w:vAlign w:val="bottom"/>
            <w:gridSpan w:val="3"/>
          </w:tcPr>
          <w:p>
            <w:pPr>
              <w:ind w:left="4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13"/>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4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Press Release, dated May 13, 2026, issued by AH Realty Trust, Inc.</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40" w:type="dxa"/>
            <w:vAlign w:val="bottom"/>
            <w:shd w:val="clear" w:color="auto" w:fill="0000FF"/>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04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Unaudited pro forma financial information for AH Realty Trust, Inc. for the year ended December 31, 2025 and the three months ended March</w:t>
            </w:r>
          </w:p>
        </w:tc>
        <w:tc>
          <w:tcPr>
            <w:tcW w:w="0" w:type="dxa"/>
            <w:vAlign w:val="bottom"/>
          </w:tcPr>
          <w:p>
            <w:pPr>
              <w:spacing w:after="0"/>
              <w:rPr>
                <w:sz w:val="1"/>
                <w:szCs w:val="1"/>
                <w:color w:val="auto"/>
              </w:rPr>
            </w:pPr>
          </w:p>
        </w:tc>
      </w:tr>
      <w:tr>
        <w:trPr>
          <w:trHeight w:val="115"/>
        </w:trPr>
        <w:tc>
          <w:tcPr>
            <w:tcW w:w="780" w:type="dxa"/>
            <w:vAlign w:val="bottom"/>
            <w:vMerge w:val="continue"/>
          </w:tcPr>
          <w:p>
            <w:pPr>
              <w:spacing w:after="0"/>
              <w:rPr>
                <w:sz w:val="10"/>
                <w:szCs w:val="10"/>
                <w:color w:val="auto"/>
              </w:rPr>
            </w:pPr>
          </w:p>
        </w:tc>
        <w:tc>
          <w:tcPr>
            <w:tcW w:w="640" w:type="dxa"/>
            <w:vAlign w:val="bottom"/>
            <w:tcBorders>
              <w:top w:val="single" w:sz="8" w:color="0000FF"/>
            </w:tcBorders>
            <w:vMerge w:val="restart"/>
          </w:tcPr>
          <w:p>
            <w:pPr>
              <w:spacing w:after="0" w:line="182" w:lineRule="exact"/>
              <w:rPr>
                <w:sz w:val="20"/>
                <w:szCs w:val="20"/>
                <w:color w:val="auto"/>
              </w:rPr>
            </w:pPr>
            <w:r>
              <w:rPr>
                <w:rFonts w:ascii="Times New Roman" w:cs="Times New Roman" w:eastAsia="Times New Roman" w:hAnsi="Times New Roman"/>
                <w:sz w:val="18"/>
                <w:szCs w:val="18"/>
                <w:color w:val="0000FF"/>
                <w:w w:val="98"/>
              </w:rPr>
              <w:t>31, 2026</w:t>
            </w:r>
          </w:p>
        </w:tc>
        <w:tc>
          <w:tcPr>
            <w:tcW w:w="4240" w:type="dxa"/>
            <w:vAlign w:val="bottom"/>
            <w:tcBorders>
              <w:top w:val="single" w:sz="8" w:color="0000FF"/>
            </w:tcBorders>
          </w:tcPr>
          <w:p>
            <w:pPr>
              <w:spacing w:after="0"/>
              <w:rPr>
                <w:sz w:val="10"/>
                <w:szCs w:val="10"/>
                <w:color w:val="auto"/>
              </w:rPr>
            </w:pPr>
          </w:p>
        </w:tc>
        <w:tc>
          <w:tcPr>
            <w:tcW w:w="5400" w:type="dxa"/>
            <w:vAlign w:val="bottom"/>
            <w:tcBorders>
              <w:top w:val="single" w:sz="8" w:color="0000FF"/>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80" w:type="dxa"/>
            <w:vAlign w:val="bottom"/>
          </w:tcPr>
          <w:p>
            <w:pPr>
              <w:spacing w:after="0"/>
              <w:rPr>
                <w:sz w:val="5"/>
                <w:szCs w:val="5"/>
                <w:color w:val="auto"/>
              </w:rPr>
            </w:pPr>
          </w:p>
        </w:tc>
        <w:tc>
          <w:tcPr>
            <w:tcW w:w="640" w:type="dxa"/>
            <w:vAlign w:val="bottom"/>
            <w:tcBorders>
              <w:bottom w:val="single" w:sz="8" w:color="0000FF"/>
            </w:tcBorders>
            <w:vMerge w:val="continue"/>
          </w:tcPr>
          <w:p>
            <w:pPr>
              <w:spacing w:after="0"/>
              <w:rPr>
                <w:sz w:val="5"/>
                <w:szCs w:val="5"/>
                <w:color w:val="auto"/>
              </w:rPr>
            </w:pPr>
          </w:p>
        </w:tc>
        <w:tc>
          <w:tcPr>
            <w:tcW w:w="4240" w:type="dxa"/>
            <w:vAlign w:val="bottom"/>
          </w:tcPr>
          <w:p>
            <w:pPr>
              <w:spacing w:after="0"/>
              <w:rPr>
                <w:sz w:val="5"/>
                <w:szCs w:val="5"/>
                <w:color w:val="auto"/>
              </w:rPr>
            </w:pPr>
          </w:p>
        </w:tc>
        <w:tc>
          <w:tcPr>
            <w:tcW w:w="5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1006"/>
        </w:trPr>
        <w:tc>
          <w:tcPr>
            <w:tcW w:w="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800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AH REALTY TRUST, INC.</w:t>
            </w:r>
          </w:p>
        </w:tc>
      </w:tr>
      <w:tr>
        <w:trPr>
          <w:trHeight w:val="45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80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By: /s/ Matthew Barnes-Smith</w:t>
            </w:r>
          </w:p>
        </w:tc>
      </w:tr>
      <w:tr>
        <w:trPr>
          <w:trHeight w:val="218"/>
        </w:trPr>
        <w:tc>
          <w:tcPr>
            <w:tcW w:w="32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Matthew Barnes-Smith</w:t>
            </w:r>
          </w:p>
        </w:tc>
      </w:tr>
      <w:tr>
        <w:trPr>
          <w:trHeight w:val="234"/>
        </w:trPr>
        <w:tc>
          <w:tcPr>
            <w:tcW w:w="32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ectPr>
          <w:pgSz w:w="11900" w:h="16838" w:orient="portrait"/>
          <w:cols w:equalWidth="0" w:num="1">
            <w:col w:w="11220"/>
          </w:cols>
          <w:pgMar w:left="320" w:top="887"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AH Realty Trust Completes Portfolio Sale to Harbor Group</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Nine Multifamily Properties Sold for $485 Million; Two Multifamily Properties Remain Under Contract for $77 Million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Approximately $465 Million of Proceeds Used to Paydown Debt</w:t>
      </w:r>
    </w:p>
    <w:p>
      <w:pPr>
        <w:spacing w:after="0" w:line="200" w:lineRule="exact"/>
        <w:rPr>
          <w:sz w:val="20"/>
          <w:szCs w:val="20"/>
          <w:color w:val="auto"/>
        </w:rPr>
      </w:pPr>
    </w:p>
    <w:p>
      <w:pPr>
        <w:spacing w:after="0" w:line="297" w:lineRule="exact"/>
        <w:rPr>
          <w:sz w:val="20"/>
          <w:szCs w:val="20"/>
          <w:color w:val="auto"/>
        </w:rPr>
      </w:pPr>
    </w:p>
    <w:p>
      <w:pPr>
        <w:ind w:right="280"/>
        <w:spacing w:after="0" w:line="255" w:lineRule="auto"/>
        <w:rPr>
          <w:sz w:val="20"/>
          <w:szCs w:val="20"/>
          <w:color w:val="auto"/>
        </w:rPr>
      </w:pPr>
      <w:r>
        <w:rPr>
          <w:rFonts w:ascii="Arial" w:cs="Arial" w:eastAsia="Arial" w:hAnsi="Arial"/>
          <w:sz w:val="20"/>
          <w:szCs w:val="20"/>
          <w:b w:val="1"/>
          <w:bCs w:val="1"/>
          <w:color w:val="auto"/>
        </w:rPr>
        <w:t xml:space="preserve">VIRGINIA BEACH, Va., May 21, 2026 </w:t>
      </w:r>
      <w:r>
        <w:rPr>
          <w:rFonts w:ascii="Arial" w:cs="Arial" w:eastAsia="Arial" w:hAnsi="Arial"/>
          <w:sz w:val="20"/>
          <w:szCs w:val="20"/>
          <w:color w:val="auto"/>
        </w:rPr>
        <w:t>– AH Realty Trust (NYSE: AHRT) (“AHRT”) today announced the closing of the sale of</w:t>
      </w:r>
      <w:r>
        <w:rPr>
          <w:rFonts w:ascii="Arial" w:cs="Arial" w:eastAsia="Arial" w:hAnsi="Arial"/>
          <w:sz w:val="20"/>
          <w:szCs w:val="20"/>
          <w:b w:val="1"/>
          <w:bCs w:val="1"/>
          <w:color w:val="auto"/>
        </w:rPr>
        <w:t xml:space="preserve"> </w:t>
      </w:r>
      <w:r>
        <w:rPr>
          <w:rFonts w:ascii="Arial" w:cs="Arial" w:eastAsia="Arial" w:hAnsi="Arial"/>
          <w:sz w:val="20"/>
          <w:szCs w:val="20"/>
          <w:color w:val="auto"/>
        </w:rPr>
        <w:t>nine of the 11 properties included in the Company’s previously announced multifamily portfolio transaction with affiliates of Harbor Group International, LLC (“HGI”). The nine properties sold for a gross sales price of $485 million. Two multifamily properties – Greenside and Premier – remain under contract to affiliates of HGI. The Company anticipates closing on the $50 million sale of Greenside by the end of 2026 and the $27 million sale of Premier by mid-2027.</w:t>
      </w:r>
    </w:p>
    <w:p>
      <w:pPr>
        <w:spacing w:after="0" w:line="211"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“Completing the sale of these properties marks another significant step in our transformation as we continue to sharpen our focus on our high-quality retail and mixed-use office portfolio,” said Shawn Tibbetts, Chairman, President and Chief Executive Officer of AH Realty Trust. “We received an attractive valuation for these properties, and the proceeds will allow us to accelerate our deleveraging and strengthen our balance sheet. We are creating a leaner, more agile business designed to drive profitable growth and value creation for shareholders.”</w:t>
      </w:r>
    </w:p>
    <w:p>
      <w:pPr>
        <w:spacing w:after="0" w:line="214" w:lineRule="exact"/>
        <w:rPr>
          <w:sz w:val="20"/>
          <w:szCs w:val="20"/>
          <w:color w:val="auto"/>
        </w:rPr>
      </w:pPr>
    </w:p>
    <w:p>
      <w:pPr>
        <w:ind w:right="260"/>
        <w:spacing w:after="0" w:line="271" w:lineRule="auto"/>
        <w:rPr>
          <w:sz w:val="20"/>
          <w:szCs w:val="20"/>
          <w:color w:val="auto"/>
        </w:rPr>
      </w:pPr>
      <w:r>
        <w:rPr>
          <w:rFonts w:ascii="Arial" w:cs="Arial" w:eastAsia="Arial" w:hAnsi="Arial"/>
          <w:sz w:val="20"/>
          <w:szCs w:val="20"/>
          <w:color w:val="auto"/>
        </w:rPr>
        <w:t>The Company intends to deploy the sale proceeds toward debt reduction, accelerating progress toward its long-term leverage target of 5.5x – 6.5x net debt to total adjusted EBITDA.</w:t>
      </w:r>
    </w:p>
    <w:p>
      <w:pPr>
        <w:spacing w:after="0" w:line="196" w:lineRule="exact"/>
        <w:rPr>
          <w:sz w:val="20"/>
          <w:szCs w:val="20"/>
          <w:color w:val="auto"/>
        </w:rPr>
      </w:pPr>
    </w:p>
    <w:p>
      <w:pPr>
        <w:ind w:right="560"/>
        <w:spacing w:after="0" w:line="286" w:lineRule="auto"/>
        <w:rPr>
          <w:sz w:val="20"/>
          <w:szCs w:val="20"/>
          <w:color w:val="auto"/>
        </w:rPr>
      </w:pPr>
      <w:r>
        <w:rPr>
          <w:rFonts w:ascii="Arial" w:cs="Arial" w:eastAsia="Arial" w:hAnsi="Arial"/>
          <w:sz w:val="20"/>
          <w:szCs w:val="20"/>
          <w:color w:val="auto"/>
        </w:rPr>
        <w:t>In addition to this 11-asset portfolio, the Company is actively marketing both The Everly and Solis Gainesville for sale. The Company intends to retain ownership of Smith’s Landing.</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AH Realty Trust</w:t>
      </w:r>
    </w:p>
    <w:p>
      <w:pPr>
        <w:spacing w:after="0" w:line="33"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color w:val="auto"/>
        </w:rPr>
        <w:t>AH Realty Trust (NYSE: AHRT), formerly known as Armada Hoffler, is a real estate investment trust (“REIT”) with over four decades of experience. The Company owns and operates high-quality retail and office assets located primarily in the Mid-Atlantic and Southeastern United States. AH Realty Trust focuses on disciplined capital allocation and long-term value creation for shareholders. For more information visit AHRealtyTrust.com.</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3"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Certain matters within this press release are discussed using forward-looking language as specified in the Private Securities Litigation Reform Act of 1995, and, as such, may involve known and unknown risks, uncertainties, and other factors that may cause the actual results or performance to differ from those projected in the forward-looking statements. These forward-looking statements include, but are not limited to, statements regarding: the consummation and the timeline for the sale of the Company’s remaining multifamily assets to HGI; the application of the proceeds from the sale of the Company’s multifamily assets; the future prospects of the Company; the future allocation of the Company’s resources to the Company’s retail and office properties; the Company’s future investment strategy, including potential property acquisitions; and the Company’s intentions with respect to Smith’s Landing, Everly and Solis Gainesville. The forward-looking statements presented herein are based on the Company’s current expectations. For a description of factors that may cause the Company’s actual results or performance to differ from its forward-looking statements, please review the information</w:t>
      </w:r>
    </w:p>
    <w:p>
      <w:pPr>
        <w:sectPr>
          <w:pgSz w:w="11900" w:h="16838" w:orient="portrait"/>
          <w:cols w:equalWidth="0" w:num="1">
            <w:col w:w="11240"/>
          </w:cols>
          <w:pgMar w:left="320" w:top="1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under the heading “Risk Factors” included in the Company’s Annual Report on Form 10-K for the year ended December 31, 2025, and the other documents filed by the Company with the Securities and Exchange Commission from time to time. The Company expressly disclaims any obligation or undertaking to update or revise any forward-looking statement contained herein, to reflect any change in the Company’s expectations with regard thereto, or any other change in events, conditions, or circumstances on which any such statement is based, except to the extent otherwise required by applicable law.</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Chelsea Forrest</w:t>
      </w:r>
    </w:p>
    <w:p>
      <w:pPr>
        <w:spacing w:after="0"/>
        <w:rPr>
          <w:sz w:val="20"/>
          <w:szCs w:val="20"/>
          <w:color w:val="auto"/>
        </w:rPr>
      </w:pPr>
      <w:r>
        <w:rPr>
          <w:rFonts w:ascii="Arial" w:cs="Arial" w:eastAsia="Arial" w:hAnsi="Arial"/>
          <w:sz w:val="20"/>
          <w:szCs w:val="20"/>
          <w:color w:val="auto"/>
        </w:rPr>
        <w:t>AH Realty Trust</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EVP of Investor Relations and Administration</w:t>
      </w:r>
    </w:p>
    <w:p>
      <w:pPr>
        <w:spacing w:after="0"/>
        <w:rPr>
          <w:sz w:val="20"/>
          <w:szCs w:val="20"/>
          <w:color w:val="auto"/>
        </w:rPr>
      </w:pPr>
      <w:r>
        <w:rPr>
          <w:rFonts w:ascii="Arial" w:cs="Arial" w:eastAsia="Arial" w:hAnsi="Arial"/>
          <w:sz w:val="20"/>
          <w:szCs w:val="20"/>
          <w:color w:val="auto"/>
        </w:rPr>
        <w:t>Email: chelsea.forrest@ahrealtytrust.com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Phone: (757) 366-4000</w:t>
      </w:r>
    </w:p>
    <w:p>
      <w:pPr>
        <w:sectPr>
          <w:pgSz w:w="11900" w:h="16838" w:orient="portrait"/>
          <w:cols w:equalWidth="0" w:num="1">
            <w:col w:w="11240"/>
          </w:cols>
          <w:pgMar w:left="320" w:top="10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AH REALTY TRUST,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Financial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previously disclosed, on March 13, 2026, AH Realty Trust, Inc. (the “Company”) entered into a purchase and sale agreement with affiliates of Harbor Group International (“HGI”) to sell 11 of the Company’s 14 multifamily properties for an aggregate purchase price of approximately $562.0 million (the "Multifamily Disposition").</w:t>
      </w:r>
    </w:p>
    <w:p>
      <w:pPr>
        <w:spacing w:after="0" w:line="20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On May 20, 2026, the Company completed the disposition of nine of eleven properties to be sold pursuant to the Multifamily Disposition for aggregate gross proceeds of approximately $485.0 million (the “First Closing”). The First Closing consisted of the disposition of the following properties:</w:t>
      </w:r>
    </w:p>
    <w:p>
      <w:pPr>
        <w:ind w:left="900" w:hanging="24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1305 Dock Street</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1405 Point</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Allied | Harbor Point</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Chandler Residences</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Chronicle Mill Apartments</w:t>
      </w:r>
    </w:p>
    <w:p>
      <w:pPr>
        <w:spacing w:after="0" w:line="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Encore Apartments</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Liberty Apartments</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Cosmopolitan</w:t>
      </w:r>
    </w:p>
    <w:p>
      <w:pPr>
        <w:spacing w:after="0" w:line="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Edison</w:t>
      </w:r>
    </w:p>
    <w:p>
      <w:pPr>
        <w:spacing w:after="0" w:line="2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Two multifamily properties - Greenside and Premier - remain under contract to affiliates of HGI. The Company anticipates closing on the $50.0 million sale of Greenside by the end of 2026 (the “Greenside Closing”) and hte $27.0 million sale of Premier by mid-2027 (the “Premier Closing,” and, collectively with the Greenside Closing, the “Remaining Closings”). There can be no assurance that the Company will complete the Remaining Closings on the timeline described herein or at all, or that the Company will realize the expected benefits of the Multifamily Disposition in part or at all. For additional information regarding the Multifamily Disposition, see the Current Report on Form 8-K previously filed by the Company on March 16,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condensed consolidated financial statements have been derived from the Company’s historical consolidated financial statements, prepared in accordance with accounting principles generally accepted in the United States of America (“U.S. GAAP”), and have been prepared to illustrate the estimated effects of the First Closing. The unaudited pro forma condensed consolidated balance sheet gives effect to the First Closing as if it had occurred on March 31, 2026, our latest balance sheet date. The unaudited pro forma condensed consolidated statements of operations for the three months ended March 31, 2026, and for the fiscal year ended December 31, 2025, assume the First Closing occurred on January 1, 2025, the first day of fiscal 2025. Beginning in the first quarter of 2026, the multifamily historical financial results for periods prior to the First Closing were reflected in the Company’s consolidated financial statements as discontinued operations in accordance with the applicable accounting guidance.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consolidated financial statements and the accompanying notes should be read in conjunction with:</w:t>
      </w:r>
    </w:p>
    <w:p>
      <w:pPr>
        <w:spacing w:after="0" w:line="27" w:lineRule="exact"/>
        <w:rPr>
          <w:sz w:val="20"/>
          <w:szCs w:val="20"/>
          <w:color w:val="auto"/>
        </w:rPr>
      </w:pPr>
    </w:p>
    <w:p>
      <w:pPr>
        <w:ind w:left="660" w:right="460" w:hanging="324"/>
        <w:spacing w:after="0" w:line="250" w:lineRule="auto"/>
        <w:rPr>
          <w:sz w:val="20"/>
          <w:szCs w:val="20"/>
          <w:color w:val="auto"/>
        </w:rPr>
      </w:pPr>
      <w:r>
        <w:rPr>
          <w:rFonts w:ascii="Times New Roman" w:cs="Times New Roman" w:eastAsia="Times New Roman" w:hAnsi="Times New Roman"/>
          <w:sz w:val="18"/>
          <w:szCs w:val="18"/>
          <w:color w:val="auto"/>
        </w:rPr>
        <w:t>– the audited consolidated financial statements, accompanying notes, and “Management’s Discussion and Analysis of Financial Condition and Results of Operations” thereto included in the Company's Annual Report on Form 10-K for the fiscal year ended December 31, 2025; and</w:t>
      </w:r>
    </w:p>
    <w:p>
      <w:pPr>
        <w:ind w:left="660" w:right="260" w:hanging="324"/>
        <w:spacing w:after="0" w:line="255" w:lineRule="auto"/>
        <w:rPr>
          <w:sz w:val="20"/>
          <w:szCs w:val="20"/>
          <w:color w:val="auto"/>
        </w:rPr>
      </w:pPr>
      <w:r>
        <w:rPr>
          <w:rFonts w:ascii="Times New Roman" w:cs="Times New Roman" w:eastAsia="Times New Roman" w:hAnsi="Times New Roman"/>
          <w:sz w:val="18"/>
          <w:szCs w:val="18"/>
          <w:color w:val="auto"/>
        </w:rPr>
        <w:t>– the unaudited condensed consolidated financial statements, accompanying notes, and “Management’s Discussion and Analysis of Financial Condition and Results of Operations” thereto included in the Company’s Quarterly Report on Form 10-Q for the three months ended March 31, 2026, each as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historical consolidated column in the unaudited pro forma consolidated financial statements reflects the Company’s historical financial statements for the periods presented and does not reflect any adjustments related to the First Closing and related events.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is presented for illustrative and informational purposes only and is not necessarily indicative of the results of operations or financial position that would have been achieved had the First Closing been completed as of the dates indicated, nor is it intended to project the Company’s results of operations or financial position for any future period. The pro forma adjustments are based upon the best available information and management estimates and is subject to assumptions and adjustments described below in the accompanying notes. Management believes these assumptions and estimates are reasonable, given the information available at the filing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AH REALTY TRUST,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Historical</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Pro Forma</w:t>
            </w:r>
          </w:p>
        </w:tc>
        <w:tc>
          <w:tcPr>
            <w:tcW w:w="28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Pro Forma</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260"/>
              <w:spacing w:after="0" w:line="229" w:lineRule="exact"/>
              <w:rPr>
                <w:sz w:val="20"/>
                <w:szCs w:val="20"/>
                <w:color w:val="auto"/>
              </w:rPr>
            </w:pPr>
            <w:r>
              <w:rPr>
                <w:rFonts w:ascii="Times New Roman" w:cs="Times New Roman" w:eastAsia="Times New Roman" w:hAnsi="Times New Roman"/>
                <w:sz w:val="17"/>
                <w:szCs w:val="17"/>
                <w:b w:val="1"/>
                <w:bCs w:val="1"/>
                <w:color w:val="auto"/>
                <w:w w:val="95"/>
              </w:rPr>
              <w:t xml:space="preserve">Adjustments </w:t>
            </w:r>
            <w:r>
              <w:rPr>
                <w:rFonts w:ascii="Times New Roman" w:cs="Times New Roman" w:eastAsia="Times New Roman" w:hAnsi="Times New Roman"/>
                <w:sz w:val="22"/>
                <w:szCs w:val="22"/>
                <w:b w:val="1"/>
                <w:bCs w:val="1"/>
                <w:color w:val="auto"/>
                <w:w w:val="95"/>
                <w:vertAlign w:val="superscript"/>
              </w:rPr>
              <w:t>(A)</w:t>
            </w:r>
          </w:p>
        </w:tc>
        <w:tc>
          <w:tcPr>
            <w:tcW w:w="28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568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investments: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0" w:type="dxa"/>
            <w:vAlign w:val="bottom"/>
          </w:tcPr>
          <w:p>
            <w:pPr>
              <w:spacing w:after="0"/>
              <w:rPr>
                <w:sz w:val="19"/>
                <w:szCs w:val="19"/>
                <w:color w:val="auto"/>
              </w:rPr>
            </w:pPr>
          </w:p>
        </w:tc>
        <w:tc>
          <w:tcPr>
            <w:tcW w:w="5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Income producing property</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1,773,240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1,773,240</w:t>
            </w:r>
          </w:p>
        </w:tc>
        <w:tc>
          <w:tcPr>
            <w:tcW w:w="0" w:type="dxa"/>
            <w:vAlign w:val="bottom"/>
          </w:tcPr>
          <w:p>
            <w:pPr>
              <w:spacing w:after="0"/>
              <w:rPr>
                <w:sz w:val="1"/>
                <w:szCs w:val="1"/>
                <w:color w:val="auto"/>
              </w:rPr>
            </w:pPr>
          </w:p>
        </w:tc>
      </w:tr>
      <w:tr>
        <w:trPr>
          <w:trHeight w:val="233"/>
        </w:trPr>
        <w:tc>
          <w:tcPr>
            <w:tcW w:w="340" w:type="dxa"/>
            <w:vAlign w:val="bottom"/>
            <w:shd w:val="clear" w:color="auto" w:fill="CCEEFF"/>
          </w:tcPr>
          <w:p>
            <w:pPr>
              <w:spacing w:after="0"/>
              <w:rPr>
                <w:sz w:val="20"/>
                <w:szCs w:val="20"/>
                <w:color w:val="auto"/>
              </w:rPr>
            </w:pPr>
          </w:p>
        </w:tc>
        <w:tc>
          <w:tcPr>
            <w:tcW w:w="5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Held for development</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5,683</w:t>
            </w:r>
          </w:p>
        </w:tc>
        <w:tc>
          <w:tcPr>
            <w:tcW w:w="0" w:type="dxa"/>
            <w:vAlign w:val="bottom"/>
          </w:tcPr>
          <w:p>
            <w:pPr>
              <w:spacing w:after="0"/>
              <w:rPr>
                <w:sz w:val="1"/>
                <w:szCs w:val="1"/>
                <w:color w:val="auto"/>
              </w:rPr>
            </w:pPr>
          </w:p>
        </w:tc>
      </w:tr>
      <w:tr>
        <w:trPr>
          <w:trHeight w:val="226"/>
        </w:trPr>
        <w:tc>
          <w:tcPr>
            <w:tcW w:w="340" w:type="dxa"/>
            <w:vAlign w:val="bottom"/>
          </w:tcPr>
          <w:p>
            <w:pPr>
              <w:spacing w:after="0"/>
              <w:rPr>
                <w:sz w:val="19"/>
                <w:szCs w:val="19"/>
                <w:color w:val="auto"/>
              </w:rPr>
            </w:pPr>
          </w:p>
        </w:tc>
        <w:tc>
          <w:tcPr>
            <w:tcW w:w="5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16,568</w:t>
            </w:r>
          </w:p>
        </w:tc>
        <w:tc>
          <w:tcPr>
            <w:tcW w:w="0" w:type="dxa"/>
            <w:vAlign w:val="bottom"/>
          </w:tcPr>
          <w:p>
            <w:pPr>
              <w:spacing w:after="0"/>
              <w:rPr>
                <w:sz w:val="1"/>
                <w:szCs w:val="1"/>
                <w:color w:val="auto"/>
              </w:rPr>
            </w:pPr>
          </w:p>
        </w:tc>
      </w:tr>
      <w:tr>
        <w:trPr>
          <w:trHeight w:val="227"/>
        </w:trPr>
        <w:tc>
          <w:tcPr>
            <w:tcW w:w="34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CCEEFF"/>
            </w:tcBorders>
            <w:shd w:val="clear" w:color="auto" w:fill="CCEEFF"/>
          </w:tcPr>
          <w:p>
            <w:pPr>
              <w:spacing w:after="0"/>
              <w:rPr>
                <w:sz w:val="19"/>
                <w:szCs w:val="19"/>
                <w:color w:val="auto"/>
              </w:rPr>
            </w:pPr>
          </w:p>
        </w:tc>
        <w:tc>
          <w:tcPr>
            <w:tcW w:w="34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1,795,491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1,795,491</w:t>
            </w:r>
          </w:p>
        </w:tc>
        <w:tc>
          <w:tcPr>
            <w:tcW w:w="0" w:type="dxa"/>
            <w:vAlign w:val="bottom"/>
          </w:tcPr>
          <w:p>
            <w:pPr>
              <w:spacing w:after="0"/>
              <w:rPr>
                <w:sz w:val="1"/>
                <w:szCs w:val="1"/>
                <w:color w:val="auto"/>
              </w:rPr>
            </w:pPr>
          </w:p>
        </w:tc>
      </w:tr>
      <w:tr>
        <w:trPr>
          <w:trHeight w:val="226"/>
        </w:trPr>
        <w:tc>
          <w:tcPr>
            <w:tcW w:w="340" w:type="dxa"/>
            <w:vAlign w:val="bottom"/>
          </w:tcPr>
          <w:p>
            <w:pPr>
              <w:spacing w:after="0"/>
              <w:rPr>
                <w:sz w:val="19"/>
                <w:szCs w:val="19"/>
                <w:color w:val="auto"/>
              </w:rPr>
            </w:pPr>
          </w:p>
        </w:tc>
        <w:tc>
          <w:tcPr>
            <w:tcW w:w="5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(412,226)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(412,226)</w:t>
            </w:r>
          </w:p>
        </w:tc>
        <w:tc>
          <w:tcPr>
            <w:tcW w:w="0" w:type="dxa"/>
            <w:vAlign w:val="bottom"/>
          </w:tcPr>
          <w:p>
            <w:pPr>
              <w:spacing w:after="0"/>
              <w:rPr>
                <w:sz w:val="1"/>
                <w:szCs w:val="1"/>
                <w:color w:val="auto"/>
              </w:rPr>
            </w:pPr>
          </w:p>
        </w:tc>
      </w:tr>
      <w:tr>
        <w:trPr>
          <w:trHeight w:val="227"/>
        </w:trPr>
        <w:tc>
          <w:tcPr>
            <w:tcW w:w="340" w:type="dxa"/>
            <w:vAlign w:val="bottom"/>
            <w:tcBorders>
              <w:top w:val="single" w:sz="8" w:color="CCEEFF"/>
            </w:tcBorders>
            <w:shd w:val="clear" w:color="auto" w:fill="CCEEFF"/>
          </w:tcPr>
          <w:p>
            <w:pPr>
              <w:spacing w:after="0"/>
              <w:rPr>
                <w:sz w:val="19"/>
                <w:szCs w:val="19"/>
                <w:color w:val="auto"/>
              </w:rPr>
            </w:pPr>
          </w:p>
        </w:tc>
        <w:tc>
          <w:tcPr>
            <w:tcW w:w="56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real estate investments</w:t>
            </w:r>
          </w:p>
        </w:tc>
        <w:tc>
          <w:tcPr>
            <w:tcW w:w="2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1,383,265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1,383,265</w:t>
            </w:r>
          </w:p>
        </w:tc>
        <w:tc>
          <w:tcPr>
            <w:tcW w:w="0" w:type="dxa"/>
            <w:vAlign w:val="bottom"/>
          </w:tcPr>
          <w:p>
            <w:pPr>
              <w:spacing w:after="0"/>
              <w:rPr>
                <w:sz w:val="1"/>
                <w:szCs w:val="1"/>
                <w:color w:val="auto"/>
              </w:rPr>
            </w:pPr>
          </w:p>
        </w:tc>
      </w:tr>
      <w:tr>
        <w:trPr>
          <w:trHeight w:val="226"/>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Real estate investments held for sale</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23,223</w:t>
            </w:r>
          </w:p>
        </w:tc>
        <w:tc>
          <w:tcPr>
            <w:tcW w:w="0" w:type="dxa"/>
            <w:vAlign w:val="bottom"/>
          </w:tcPr>
          <w:p>
            <w:pPr>
              <w:spacing w:after="0"/>
              <w:rPr>
                <w:sz w:val="1"/>
                <w:szCs w:val="1"/>
                <w:color w:val="auto"/>
              </w:rPr>
            </w:pPr>
          </w:p>
        </w:tc>
      </w:tr>
      <w:tr>
        <w:trPr>
          <w:trHeight w:val="233"/>
        </w:trPr>
        <w:tc>
          <w:tcPr>
            <w:tcW w:w="6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of discontinued operations</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705,981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(451,462)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254,519</w:t>
            </w:r>
          </w:p>
        </w:tc>
        <w:tc>
          <w:tcPr>
            <w:tcW w:w="0" w:type="dxa"/>
            <w:vAlign w:val="bottom"/>
          </w:tcPr>
          <w:p>
            <w:pPr>
              <w:spacing w:after="0"/>
              <w:rPr>
                <w:sz w:val="1"/>
                <w:szCs w:val="1"/>
                <w:color w:val="auto"/>
              </w:rPr>
            </w:pPr>
          </w:p>
        </w:tc>
      </w:tr>
      <w:tr>
        <w:trPr>
          <w:trHeight w:val="226"/>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40,898</w:t>
            </w:r>
          </w:p>
        </w:tc>
        <w:tc>
          <w:tcPr>
            <w:tcW w:w="0" w:type="dxa"/>
            <w:vAlign w:val="bottom"/>
          </w:tcPr>
          <w:p>
            <w:pPr>
              <w:spacing w:after="0"/>
              <w:rPr>
                <w:sz w:val="1"/>
                <w:szCs w:val="1"/>
                <w:color w:val="auto"/>
              </w:rPr>
            </w:pPr>
          </w:p>
        </w:tc>
      </w:tr>
      <w:tr>
        <w:trPr>
          <w:trHeight w:val="233"/>
        </w:trPr>
        <w:tc>
          <w:tcPr>
            <w:tcW w:w="6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2,013</w:t>
            </w:r>
          </w:p>
        </w:tc>
        <w:tc>
          <w:tcPr>
            <w:tcW w:w="0" w:type="dxa"/>
            <w:vAlign w:val="bottom"/>
          </w:tcPr>
          <w:p>
            <w:pPr>
              <w:spacing w:after="0"/>
              <w:rPr>
                <w:sz w:val="1"/>
                <w:szCs w:val="1"/>
                <w:color w:val="auto"/>
              </w:rPr>
            </w:pPr>
          </w:p>
        </w:tc>
      </w:tr>
      <w:tr>
        <w:trPr>
          <w:trHeight w:val="226"/>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63,185</w:t>
            </w:r>
          </w:p>
        </w:tc>
        <w:tc>
          <w:tcPr>
            <w:tcW w:w="0" w:type="dxa"/>
            <w:vAlign w:val="bottom"/>
          </w:tcPr>
          <w:p>
            <w:pPr>
              <w:spacing w:after="0"/>
              <w:rPr>
                <w:sz w:val="1"/>
                <w:szCs w:val="1"/>
                <w:color w:val="auto"/>
              </w:rPr>
            </w:pPr>
          </w:p>
        </w:tc>
      </w:tr>
      <w:tr>
        <w:trPr>
          <w:trHeight w:val="233"/>
        </w:trPr>
        <w:tc>
          <w:tcPr>
            <w:tcW w:w="6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method investments</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48,177</w:t>
            </w:r>
          </w:p>
        </w:tc>
        <w:tc>
          <w:tcPr>
            <w:tcW w:w="0" w:type="dxa"/>
            <w:vAlign w:val="bottom"/>
          </w:tcPr>
          <w:p>
            <w:pPr>
              <w:spacing w:after="0"/>
              <w:rPr>
                <w:sz w:val="1"/>
                <w:szCs w:val="1"/>
                <w:color w:val="auto"/>
              </w:rPr>
            </w:pPr>
          </w:p>
        </w:tc>
      </w:tr>
      <w:tr>
        <w:trPr>
          <w:trHeight w:val="226"/>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22,551</w:t>
            </w:r>
          </w:p>
        </w:tc>
        <w:tc>
          <w:tcPr>
            <w:tcW w:w="0" w:type="dxa"/>
            <w:vAlign w:val="bottom"/>
          </w:tcPr>
          <w:p>
            <w:pPr>
              <w:spacing w:after="0"/>
              <w:rPr>
                <w:sz w:val="1"/>
                <w:szCs w:val="1"/>
                <w:color w:val="auto"/>
              </w:rPr>
            </w:pPr>
          </w:p>
        </w:tc>
      </w:tr>
      <w:tr>
        <w:trPr>
          <w:trHeight w:val="233"/>
        </w:trPr>
        <w:tc>
          <w:tcPr>
            <w:tcW w:w="6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77,212</w:t>
            </w:r>
          </w:p>
        </w:tc>
        <w:tc>
          <w:tcPr>
            <w:tcW w:w="0" w:type="dxa"/>
            <w:vAlign w:val="bottom"/>
          </w:tcPr>
          <w:p>
            <w:pPr>
              <w:spacing w:after="0"/>
              <w:rPr>
                <w:sz w:val="1"/>
                <w:szCs w:val="1"/>
                <w:color w:val="auto"/>
              </w:rPr>
            </w:pPr>
          </w:p>
        </w:tc>
      </w:tr>
      <w:tr>
        <w:trPr>
          <w:trHeight w:val="226"/>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Acquired lease intangible assets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73,108</w:t>
            </w:r>
          </w:p>
        </w:tc>
        <w:tc>
          <w:tcPr>
            <w:tcW w:w="0" w:type="dxa"/>
            <w:vAlign w:val="bottom"/>
          </w:tcPr>
          <w:p>
            <w:pPr>
              <w:spacing w:after="0"/>
              <w:rPr>
                <w:sz w:val="1"/>
                <w:szCs w:val="1"/>
                <w:color w:val="auto"/>
              </w:rPr>
            </w:pPr>
          </w:p>
        </w:tc>
      </w:tr>
      <w:tr>
        <w:trPr>
          <w:trHeight w:val="229"/>
        </w:trPr>
        <w:tc>
          <w:tcPr>
            <w:tcW w:w="6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45,591</w:t>
            </w: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568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2,472,851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(439,109)</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2,033,742</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4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4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Indebtedness, net</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1,245,288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1,050,288</w:t>
            </w:r>
          </w:p>
        </w:tc>
        <w:tc>
          <w:tcPr>
            <w:tcW w:w="0" w:type="dxa"/>
            <w:vAlign w:val="bottom"/>
          </w:tcPr>
          <w:p>
            <w:pPr>
              <w:spacing w:after="0"/>
              <w:rPr>
                <w:sz w:val="1"/>
                <w:szCs w:val="1"/>
                <w:color w:val="auto"/>
              </w:rPr>
            </w:pPr>
          </w:p>
        </w:tc>
      </w:tr>
      <w:tr>
        <w:trPr>
          <w:trHeight w:val="233"/>
        </w:trPr>
        <w:tc>
          <w:tcPr>
            <w:tcW w:w="6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 related to assets held for sale</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8,387</w:t>
            </w:r>
          </w:p>
        </w:tc>
        <w:tc>
          <w:tcPr>
            <w:tcW w:w="0" w:type="dxa"/>
            <w:vAlign w:val="bottom"/>
          </w:tcPr>
          <w:p>
            <w:pPr>
              <w:spacing w:after="0"/>
              <w:rPr>
                <w:sz w:val="1"/>
                <w:szCs w:val="1"/>
                <w:color w:val="auto"/>
              </w:rPr>
            </w:pPr>
          </w:p>
        </w:tc>
      </w:tr>
      <w:tr>
        <w:trPr>
          <w:trHeight w:val="226"/>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Liabilities of discontinued operations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281,633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(265,506)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16,127</w:t>
            </w:r>
          </w:p>
        </w:tc>
        <w:tc>
          <w:tcPr>
            <w:tcW w:w="0" w:type="dxa"/>
            <w:vAlign w:val="bottom"/>
          </w:tcPr>
          <w:p>
            <w:pPr>
              <w:spacing w:after="0"/>
              <w:rPr>
                <w:sz w:val="1"/>
                <w:szCs w:val="1"/>
                <w:color w:val="auto"/>
              </w:rPr>
            </w:pPr>
          </w:p>
        </w:tc>
      </w:tr>
      <w:tr>
        <w:trPr>
          <w:trHeight w:val="233"/>
        </w:trPr>
        <w:tc>
          <w:tcPr>
            <w:tcW w:w="6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29,532</w:t>
            </w:r>
          </w:p>
        </w:tc>
        <w:tc>
          <w:tcPr>
            <w:tcW w:w="0" w:type="dxa"/>
            <w:vAlign w:val="bottom"/>
          </w:tcPr>
          <w:p>
            <w:pPr>
              <w:spacing w:after="0"/>
              <w:rPr>
                <w:sz w:val="1"/>
                <w:szCs w:val="1"/>
                <w:color w:val="auto"/>
              </w:rPr>
            </w:pPr>
          </w:p>
        </w:tc>
      </w:tr>
      <w:tr>
        <w:trPr>
          <w:trHeight w:val="226"/>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31,153</w:t>
            </w:r>
          </w:p>
        </w:tc>
        <w:tc>
          <w:tcPr>
            <w:tcW w:w="0" w:type="dxa"/>
            <w:vAlign w:val="bottom"/>
          </w:tcPr>
          <w:p>
            <w:pPr>
              <w:spacing w:after="0"/>
              <w:rPr>
                <w:sz w:val="1"/>
                <w:szCs w:val="1"/>
                <w:color w:val="auto"/>
              </w:rPr>
            </w:pPr>
          </w:p>
        </w:tc>
      </w:tr>
      <w:tr>
        <w:trPr>
          <w:trHeight w:val="233"/>
        </w:trPr>
        <w:tc>
          <w:tcPr>
            <w:tcW w:w="6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85,038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85,038</w:t>
            </w:r>
          </w:p>
        </w:tc>
        <w:tc>
          <w:tcPr>
            <w:tcW w:w="0" w:type="dxa"/>
            <w:vAlign w:val="bottom"/>
          </w:tcPr>
          <w:p>
            <w:pPr>
              <w:spacing w:after="0"/>
              <w:rPr>
                <w:sz w:val="1"/>
                <w:szCs w:val="1"/>
                <w:color w:val="auto"/>
              </w:rPr>
            </w:pPr>
          </w:p>
        </w:tc>
      </w:tr>
      <w:tr>
        <w:trPr>
          <w:trHeight w:val="226"/>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31,640</w:t>
            </w:r>
          </w:p>
        </w:tc>
        <w:tc>
          <w:tcPr>
            <w:tcW w:w="0" w:type="dxa"/>
            <w:vAlign w:val="bottom"/>
          </w:tcPr>
          <w:p>
            <w:pPr>
              <w:spacing w:after="0"/>
              <w:rPr>
                <w:sz w:val="1"/>
                <w:szCs w:val="1"/>
                <w:color w:val="auto"/>
              </w:rPr>
            </w:pPr>
          </w:p>
        </w:tc>
      </w:tr>
      <w:tr>
        <w:trPr>
          <w:trHeight w:val="227"/>
        </w:trPr>
        <w:tc>
          <w:tcPr>
            <w:tcW w:w="340" w:type="dxa"/>
            <w:vAlign w:val="bottom"/>
            <w:tcBorders>
              <w:top w:val="single" w:sz="8" w:color="CCEEFF"/>
            </w:tcBorders>
            <w:shd w:val="clear" w:color="auto" w:fill="CCEEFF"/>
          </w:tcPr>
          <w:p>
            <w:pPr>
              <w:spacing w:after="0"/>
              <w:rPr>
                <w:sz w:val="19"/>
                <w:szCs w:val="19"/>
                <w:color w:val="auto"/>
              </w:rPr>
            </w:pPr>
          </w:p>
        </w:tc>
        <w:tc>
          <w:tcPr>
            <w:tcW w:w="5680" w:type="dxa"/>
            <w:vAlign w:val="bottom"/>
            <w:tcBorders>
              <w:top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1,712,671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(460,506)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1,252,165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6020" w:type="dxa"/>
            <w:vAlign w:val="bottom"/>
            <w:gridSpan w:val="4"/>
          </w:tcPr>
          <w:p>
            <w:pPr>
              <w:ind w:left="20"/>
              <w:spacing w:after="0" w:line="167" w:lineRule="exact"/>
              <w:rPr>
                <w:sz w:val="20"/>
                <w:szCs w:val="20"/>
                <w:color w:val="auto"/>
              </w:rPr>
            </w:pPr>
            <w:r>
              <w:rPr>
                <w:rFonts w:ascii="Times New Roman" w:cs="Times New Roman" w:eastAsia="Times New Roman" w:hAnsi="Times New Roman"/>
                <w:sz w:val="17"/>
                <w:szCs w:val="17"/>
                <w:color w:val="auto"/>
              </w:rPr>
              <w:t>Preferred stock, $0.01 par value, 100,000,000 shares authorized:</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20" w:type="dxa"/>
            <w:vAlign w:val="bottom"/>
            <w:gridSpan w:val="4"/>
          </w:tcPr>
          <w:p>
            <w:pPr>
              <w:ind w:left="100"/>
              <w:spacing w:after="0" w:line="171" w:lineRule="exact"/>
              <w:rPr>
                <w:sz w:val="20"/>
                <w:szCs w:val="20"/>
                <w:color w:val="auto"/>
              </w:rPr>
            </w:pPr>
            <w:r>
              <w:rPr>
                <w:rFonts w:ascii="Times New Roman" w:cs="Times New Roman" w:eastAsia="Times New Roman" w:hAnsi="Times New Roman"/>
                <w:sz w:val="17"/>
                <w:szCs w:val="17"/>
                <w:color w:val="auto"/>
              </w:rPr>
              <w:t>6.75% Series A Cumulative Redeemable Perpetual Preferred Stock, 9,980,000</w:t>
            </w:r>
          </w:p>
        </w:tc>
        <w:tc>
          <w:tcPr>
            <w:tcW w:w="2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171,085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171,085</w:t>
            </w:r>
          </w:p>
        </w:tc>
        <w:tc>
          <w:tcPr>
            <w:tcW w:w="0" w:type="dxa"/>
            <w:vAlign w:val="bottom"/>
          </w:tcPr>
          <w:p>
            <w:pPr>
              <w:spacing w:after="0"/>
              <w:rPr>
                <w:sz w:val="1"/>
                <w:szCs w:val="1"/>
                <w:color w:val="auto"/>
              </w:rPr>
            </w:pPr>
          </w:p>
        </w:tc>
      </w:tr>
      <w:tr>
        <w:trPr>
          <w:trHeight w:val="226"/>
        </w:trPr>
        <w:tc>
          <w:tcPr>
            <w:tcW w:w="602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shares authorized; 6,843,418 shares issued and outstanding</w:t>
            </w:r>
          </w:p>
        </w:tc>
        <w:tc>
          <w:tcPr>
            <w:tcW w:w="24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6020" w:type="dxa"/>
            <w:vAlign w:val="bottom"/>
            <w:gridSpan w:val="4"/>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Common stock, $0.01 par value, 500,000,000 shares authorized; 76,552,562 shares</w:t>
            </w:r>
          </w:p>
        </w:tc>
        <w:tc>
          <w:tcPr>
            <w:tcW w:w="2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0" w:type="dxa"/>
            <w:vAlign w:val="bottom"/>
          </w:tcPr>
          <w:p>
            <w:pPr>
              <w:spacing w:after="0"/>
              <w:rPr>
                <w:sz w:val="1"/>
                <w:szCs w:val="1"/>
                <w:color w:val="auto"/>
              </w:rPr>
            </w:pPr>
          </w:p>
        </w:tc>
      </w:tr>
      <w:tr>
        <w:trPr>
          <w:trHeight w:val="224"/>
        </w:trPr>
        <w:tc>
          <w:tcPr>
            <w:tcW w:w="6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issued and outstanding</w:t>
            </w:r>
          </w:p>
        </w:tc>
        <w:tc>
          <w:tcPr>
            <w:tcW w:w="24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702,891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702,891</w:t>
            </w:r>
          </w:p>
        </w:tc>
        <w:tc>
          <w:tcPr>
            <w:tcW w:w="0" w:type="dxa"/>
            <w:vAlign w:val="bottom"/>
          </w:tcPr>
          <w:p>
            <w:pPr>
              <w:spacing w:after="0"/>
              <w:rPr>
                <w:sz w:val="1"/>
                <w:szCs w:val="1"/>
                <w:color w:val="auto"/>
              </w:rPr>
            </w:pPr>
          </w:p>
        </w:tc>
      </w:tr>
      <w:tr>
        <w:trPr>
          <w:trHeight w:val="233"/>
        </w:trPr>
        <w:tc>
          <w:tcPr>
            <w:tcW w:w="6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Distributions in excess of earnings</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(306,080)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21,397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(284,683)</w:t>
            </w:r>
          </w:p>
        </w:tc>
        <w:tc>
          <w:tcPr>
            <w:tcW w:w="0" w:type="dxa"/>
            <w:vAlign w:val="bottom"/>
          </w:tcPr>
          <w:p>
            <w:pPr>
              <w:spacing w:after="0"/>
              <w:rPr>
                <w:sz w:val="1"/>
                <w:szCs w:val="1"/>
                <w:color w:val="auto"/>
              </w:rPr>
            </w:pPr>
          </w:p>
        </w:tc>
      </w:tr>
      <w:tr>
        <w:trPr>
          <w:trHeight w:val="226"/>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w:t>
            </w:r>
          </w:p>
        </w:tc>
        <w:tc>
          <w:tcPr>
            <w:tcW w:w="0" w:type="dxa"/>
            <w:vAlign w:val="bottom"/>
          </w:tcPr>
          <w:p>
            <w:pPr>
              <w:spacing w:after="0"/>
              <w:rPr>
                <w:sz w:val="1"/>
                <w:szCs w:val="1"/>
                <w:color w:val="auto"/>
              </w:rPr>
            </w:pPr>
          </w:p>
        </w:tc>
      </w:tr>
      <w:tr>
        <w:trPr>
          <w:trHeight w:val="227"/>
        </w:trPr>
        <w:tc>
          <w:tcPr>
            <w:tcW w:w="602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569,523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21,397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590,920</w:t>
            </w:r>
          </w:p>
        </w:tc>
        <w:tc>
          <w:tcPr>
            <w:tcW w:w="0" w:type="dxa"/>
            <w:vAlign w:val="bottom"/>
          </w:tcPr>
          <w:p>
            <w:pPr>
              <w:spacing w:after="0"/>
              <w:rPr>
                <w:sz w:val="1"/>
                <w:szCs w:val="1"/>
                <w:color w:val="auto"/>
              </w:rPr>
            </w:pPr>
          </w:p>
        </w:tc>
      </w:tr>
      <w:tr>
        <w:trPr>
          <w:trHeight w:val="226"/>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Noncontrolling interests in investment entities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8,325</w:t>
            </w:r>
          </w:p>
        </w:tc>
        <w:tc>
          <w:tcPr>
            <w:tcW w:w="0" w:type="dxa"/>
            <w:vAlign w:val="bottom"/>
          </w:tcPr>
          <w:p>
            <w:pPr>
              <w:spacing w:after="0"/>
              <w:rPr>
                <w:sz w:val="1"/>
                <w:szCs w:val="1"/>
                <w:color w:val="auto"/>
              </w:rPr>
            </w:pPr>
          </w:p>
        </w:tc>
      </w:tr>
      <w:tr>
        <w:trPr>
          <w:trHeight w:val="233"/>
        </w:trPr>
        <w:tc>
          <w:tcPr>
            <w:tcW w:w="6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 in Operating Partnership</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182,332</w:t>
            </w:r>
          </w:p>
        </w:tc>
        <w:tc>
          <w:tcPr>
            <w:tcW w:w="0" w:type="dxa"/>
            <w:vAlign w:val="bottom"/>
          </w:tcPr>
          <w:p>
            <w:pPr>
              <w:spacing w:after="0"/>
              <w:rPr>
                <w:sz w:val="1"/>
                <w:szCs w:val="1"/>
                <w:color w:val="auto"/>
              </w:rPr>
            </w:pPr>
          </w:p>
        </w:tc>
      </w:tr>
      <w:tr>
        <w:trPr>
          <w:trHeight w:val="219"/>
        </w:trPr>
        <w:tc>
          <w:tcPr>
            <w:tcW w:w="34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2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760,180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21,397</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781,577</w:t>
            </w:r>
          </w:p>
        </w:tc>
        <w:tc>
          <w:tcPr>
            <w:tcW w:w="0" w:type="dxa"/>
            <w:vAlign w:val="bottom"/>
          </w:tcPr>
          <w:p>
            <w:pPr>
              <w:spacing w:after="0"/>
              <w:rPr>
                <w:sz w:val="1"/>
                <w:szCs w:val="1"/>
                <w:color w:val="auto"/>
              </w:rPr>
            </w:pPr>
          </w:p>
        </w:tc>
      </w:tr>
      <w:tr>
        <w:trPr>
          <w:trHeight w:val="252"/>
        </w:trPr>
        <w:tc>
          <w:tcPr>
            <w:tcW w:w="3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2,472,851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(439,109)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2,033,742</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pro forma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17" w:right="339" w:bottom="1440" w:gutter="0" w:footer="0" w:header="0"/>
          <w:type w:val="continuous"/>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AH REALTY TRUST,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Income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7"/>
                <w:szCs w:val="17"/>
                <w:color w:val="auto"/>
              </w:rPr>
            </w:pPr>
          </w:p>
        </w:tc>
        <w:tc>
          <w:tcPr>
            <w:tcW w:w="1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Historical Consolidated</w:t>
            </w: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Pro Forma Adjustments</w:t>
            </w:r>
          </w:p>
        </w:tc>
        <w:tc>
          <w:tcPr>
            <w:tcW w:w="300" w:type="dxa"/>
            <w:vAlign w:val="bottom"/>
          </w:tcPr>
          <w:p>
            <w:pPr>
              <w:spacing w:after="0"/>
              <w:rPr>
                <w:sz w:val="17"/>
                <w:szCs w:val="17"/>
                <w:color w:val="auto"/>
              </w:rPr>
            </w:pPr>
          </w:p>
        </w:tc>
        <w:tc>
          <w:tcPr>
            <w:tcW w:w="1500" w:type="dxa"/>
            <w:vAlign w:val="bottom"/>
            <w:vMerge w:val="restart"/>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Pro Forma</w:t>
            </w:r>
          </w:p>
        </w:tc>
        <w:tc>
          <w:tcPr>
            <w:tcW w:w="0" w:type="dxa"/>
            <w:vAlign w:val="bottom"/>
          </w:tcPr>
          <w:p>
            <w:pPr>
              <w:spacing w:after="0"/>
              <w:rPr>
                <w:sz w:val="1"/>
                <w:szCs w:val="1"/>
                <w:color w:val="auto"/>
              </w:rPr>
            </w:pPr>
          </w:p>
        </w:tc>
      </w:tr>
      <w:tr>
        <w:trPr>
          <w:trHeight w:val="108"/>
        </w:trPr>
        <w:tc>
          <w:tcPr>
            <w:tcW w:w="562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1440" w:type="dxa"/>
            <w:vAlign w:val="bottom"/>
            <w:gridSpan w:val="2"/>
          </w:tcPr>
          <w:p>
            <w:pPr>
              <w:ind w:left="360"/>
              <w:spacing w:after="0" w:line="108" w:lineRule="exact"/>
              <w:rPr>
                <w:sz w:val="20"/>
                <w:szCs w:val="20"/>
                <w:color w:val="auto"/>
              </w:rPr>
            </w:pPr>
            <w:r>
              <w:rPr>
                <w:rFonts w:ascii="Times New Roman" w:cs="Times New Roman" w:eastAsia="Times New Roman" w:hAnsi="Times New Roman"/>
                <w:sz w:val="11"/>
                <w:szCs w:val="11"/>
                <w:b w:val="1"/>
                <w:bCs w:val="1"/>
                <w:color w:val="auto"/>
              </w:rPr>
              <w:t>(A)</w:t>
            </w:r>
          </w:p>
        </w:tc>
        <w:tc>
          <w:tcPr>
            <w:tcW w:w="30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1900" w:type="dxa"/>
            <w:vAlign w:val="bottom"/>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6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 revenues</w:t>
            </w:r>
          </w:p>
        </w:tc>
        <w:tc>
          <w:tcPr>
            <w:tcW w:w="6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52,317</w:t>
            </w:r>
          </w:p>
        </w:tc>
        <w:tc>
          <w:tcPr>
            <w:tcW w:w="8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52,317</w:t>
            </w:r>
          </w:p>
        </w:tc>
        <w:tc>
          <w:tcPr>
            <w:tcW w:w="0" w:type="dxa"/>
            <w:vAlign w:val="bottom"/>
          </w:tcPr>
          <w:p>
            <w:pPr>
              <w:spacing w:after="0"/>
              <w:rPr>
                <w:sz w:val="1"/>
                <w:szCs w:val="1"/>
                <w:color w:val="auto"/>
              </w:rPr>
            </w:pPr>
          </w:p>
        </w:tc>
      </w:tr>
      <w:tr>
        <w:trPr>
          <w:trHeight w:val="227"/>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6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52,317</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52,317</w:t>
            </w: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 expenses</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12,857</w:t>
            </w: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taxes</w:t>
            </w:r>
          </w:p>
        </w:tc>
        <w:tc>
          <w:tcPr>
            <w:tcW w:w="6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4,735</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4,735</w:t>
            </w:r>
          </w:p>
        </w:tc>
        <w:tc>
          <w:tcPr>
            <w:tcW w:w="0" w:type="dxa"/>
            <w:vAlign w:val="bottom"/>
          </w:tcPr>
          <w:p>
            <w:pPr>
              <w:spacing w:after="0"/>
              <w:rPr>
                <w:sz w:val="1"/>
                <w:szCs w:val="1"/>
                <w:color w:val="auto"/>
              </w:rPr>
            </w:pPr>
          </w:p>
        </w:tc>
      </w:tr>
      <w:tr>
        <w:trPr>
          <w:trHeight w:val="226"/>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18,241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18,241</w:t>
            </w: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6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4,716</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4,716</w:t>
            </w:r>
          </w:p>
        </w:tc>
        <w:tc>
          <w:tcPr>
            <w:tcW w:w="0" w:type="dxa"/>
            <w:vAlign w:val="bottom"/>
          </w:tcPr>
          <w:p>
            <w:pPr>
              <w:spacing w:after="0"/>
              <w:rPr>
                <w:sz w:val="1"/>
                <w:szCs w:val="1"/>
                <w:color w:val="auto"/>
              </w:rPr>
            </w:pPr>
          </w:p>
        </w:tc>
      </w:tr>
      <w:tr>
        <w:trPr>
          <w:trHeight w:val="219"/>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6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40,549</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40,549</w:t>
            </w: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real estate dispositions, net</w:t>
            </w:r>
          </w:p>
        </w:tc>
        <w:tc>
          <w:tcPr>
            <w:tcW w:w="6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19"/>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6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11,627</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11,627</w:t>
            </w: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6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26"/>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(13,782)</w:t>
            </w: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income (loss) of unconsolidated real estate entities</w:t>
            </w:r>
          </w:p>
        </w:tc>
        <w:tc>
          <w:tcPr>
            <w:tcW w:w="6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0" w:type="dxa"/>
            <w:vAlign w:val="bottom"/>
          </w:tcPr>
          <w:p>
            <w:pPr>
              <w:spacing w:after="0"/>
              <w:rPr>
                <w:sz w:val="1"/>
                <w:szCs w:val="1"/>
                <w:color w:val="auto"/>
              </w:rPr>
            </w:pPr>
          </w:p>
        </w:tc>
      </w:tr>
      <w:tr>
        <w:trPr>
          <w:trHeight w:val="226"/>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of derivatives and other</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1,344</w:t>
            </w: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6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9"/>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continuing operations</w:t>
            </w:r>
          </w:p>
        </w:tc>
        <w:tc>
          <w:tcPr>
            <w:tcW w:w="6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0" w:type="dxa"/>
            <w:vAlign w:val="bottom"/>
          </w:tcPr>
          <w:p>
            <w:pPr>
              <w:spacing w:after="0"/>
              <w:rPr>
                <w:sz w:val="1"/>
                <w:szCs w:val="1"/>
                <w:color w:val="auto"/>
              </w:rPr>
            </w:pPr>
          </w:p>
        </w:tc>
      </w:tr>
      <w:tr>
        <w:trPr>
          <w:trHeight w:val="274"/>
        </w:trPr>
        <w:tc>
          <w:tcPr>
            <w:tcW w:w="56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(Loss) income from discontinued operations, net of taxes</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(29,889)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(28,165)</w:t>
            </w:r>
          </w:p>
        </w:tc>
        <w:tc>
          <w:tcPr>
            <w:tcW w:w="0" w:type="dxa"/>
            <w:vAlign w:val="bottom"/>
          </w:tcPr>
          <w:p>
            <w:pPr>
              <w:spacing w:after="0"/>
              <w:rPr>
                <w:sz w:val="1"/>
                <w:szCs w:val="1"/>
                <w:color w:val="auto"/>
              </w:rPr>
            </w:pPr>
          </w:p>
        </w:tc>
      </w:tr>
      <w:tr>
        <w:trPr>
          <w:trHeight w:val="272"/>
        </w:trPr>
        <w:tc>
          <w:tcPr>
            <w:tcW w:w="56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6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(30,382)</w:t>
            </w:r>
          </w:p>
        </w:tc>
        <w:tc>
          <w:tcPr>
            <w:tcW w:w="8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1,724</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(28,658)</w:t>
            </w: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 attributable to noncontrolling interests:</w:t>
            </w:r>
          </w:p>
        </w:tc>
        <w:tc>
          <w:tcPr>
            <w:tcW w:w="6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entities</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Partnership</w:t>
            </w:r>
          </w:p>
        </w:tc>
        <w:tc>
          <w:tcPr>
            <w:tcW w:w="6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7,240</w:t>
            </w:r>
          </w:p>
        </w:tc>
        <w:tc>
          <w:tcPr>
            <w:tcW w:w="8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6,865</w:t>
            </w:r>
          </w:p>
        </w:tc>
        <w:tc>
          <w:tcPr>
            <w:tcW w:w="0" w:type="dxa"/>
            <w:vAlign w:val="bottom"/>
          </w:tcPr>
          <w:p>
            <w:pPr>
              <w:spacing w:after="0"/>
              <w:rPr>
                <w:sz w:val="1"/>
                <w:szCs w:val="1"/>
                <w:color w:val="auto"/>
              </w:rPr>
            </w:pPr>
          </w:p>
        </w:tc>
      </w:tr>
      <w:tr>
        <w:trPr>
          <w:trHeight w:val="219"/>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income attributable to AH Realty Trust, Inc.</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(23,164)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(21,815)</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Preferred stock dividends</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(2,887)</w:t>
            </w:r>
          </w:p>
        </w:tc>
        <w:tc>
          <w:tcPr>
            <w:tcW w:w="0" w:type="dxa"/>
            <w:vAlign w:val="bottom"/>
          </w:tcPr>
          <w:p>
            <w:pPr>
              <w:spacing w:after="0"/>
              <w:rPr>
                <w:sz w:val="1"/>
                <w:szCs w:val="1"/>
                <w:color w:val="auto"/>
              </w:rPr>
            </w:pPr>
          </w:p>
        </w:tc>
      </w:tr>
      <w:tr>
        <w:trPr>
          <w:trHeight w:val="227"/>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income attributable to common stockholders</w:t>
            </w:r>
          </w:p>
        </w:tc>
        <w:tc>
          <w:tcPr>
            <w:tcW w:w="6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(26,051)</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(24,702)</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62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5"/>
                <w:szCs w:val="15"/>
                <w:color w:val="auto"/>
              </w:rPr>
              <w:t>Net loss attributable to common stockholders from continuing operations per</w:t>
            </w:r>
          </w:p>
        </w:tc>
        <w:tc>
          <w:tcPr>
            <w:tcW w:w="66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1"/>
                <w:szCs w:val="11"/>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0" w:type="dxa"/>
            <w:vAlign w:val="bottom"/>
          </w:tcPr>
          <w:p>
            <w:pPr>
              <w:spacing w:after="0"/>
              <w:rPr>
                <w:sz w:val="1"/>
                <w:szCs w:val="1"/>
                <w:color w:val="auto"/>
              </w:rPr>
            </w:pPr>
          </w:p>
        </w:tc>
      </w:tr>
      <w:tr>
        <w:trPr>
          <w:trHeight w:val="224"/>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 (basic and diluted)</w:t>
            </w:r>
          </w:p>
        </w:tc>
        <w:tc>
          <w:tcPr>
            <w:tcW w:w="6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56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Net (loss) income attributable to common stockholders from discontinued</w:t>
            </w:r>
          </w:p>
        </w:tc>
        <w:tc>
          <w:tcPr>
            <w:tcW w:w="6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operations per share (basic and diluted)</w:t>
            </w: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Net (loss) income attributable to common stockholders per share (basic and</w:t>
            </w:r>
          </w:p>
        </w:tc>
        <w:tc>
          <w:tcPr>
            <w:tcW w:w="6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0" w:type="dxa"/>
            <w:vAlign w:val="bottom"/>
          </w:tcPr>
          <w:p>
            <w:pPr>
              <w:spacing w:after="0"/>
              <w:rPr>
                <w:sz w:val="1"/>
                <w:szCs w:val="1"/>
                <w:color w:val="auto"/>
              </w:rPr>
            </w:pPr>
          </w:p>
        </w:tc>
      </w:tr>
      <w:tr>
        <w:trPr>
          <w:trHeight w:val="217"/>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6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 (basic and diluted)</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79,840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79,840</w:t>
            </w:r>
          </w:p>
        </w:tc>
        <w:tc>
          <w:tcPr>
            <w:tcW w:w="0" w:type="dxa"/>
            <w:vAlign w:val="bottom"/>
          </w:tcPr>
          <w:p>
            <w:pPr>
              <w:spacing w:after="0"/>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pro forma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AH REALTY TRUST,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7"/>
                <w:szCs w:val="17"/>
                <w:color w:val="auto"/>
              </w:rPr>
            </w:pPr>
          </w:p>
        </w:tc>
        <w:tc>
          <w:tcPr>
            <w:tcW w:w="1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Historical Consolidated</w:t>
            </w: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Pro Forma Adjustments</w:t>
            </w:r>
          </w:p>
        </w:tc>
        <w:tc>
          <w:tcPr>
            <w:tcW w:w="300" w:type="dxa"/>
            <w:vAlign w:val="bottom"/>
          </w:tcPr>
          <w:p>
            <w:pPr>
              <w:spacing w:after="0"/>
              <w:rPr>
                <w:sz w:val="17"/>
                <w:szCs w:val="17"/>
                <w:color w:val="auto"/>
              </w:rPr>
            </w:pPr>
          </w:p>
        </w:tc>
        <w:tc>
          <w:tcPr>
            <w:tcW w:w="1500" w:type="dxa"/>
            <w:vAlign w:val="bottom"/>
            <w:vMerge w:val="restart"/>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Pro Forma</w:t>
            </w:r>
          </w:p>
        </w:tc>
        <w:tc>
          <w:tcPr>
            <w:tcW w:w="0" w:type="dxa"/>
            <w:vAlign w:val="bottom"/>
          </w:tcPr>
          <w:p>
            <w:pPr>
              <w:spacing w:after="0"/>
              <w:rPr>
                <w:sz w:val="1"/>
                <w:szCs w:val="1"/>
                <w:color w:val="auto"/>
              </w:rPr>
            </w:pPr>
          </w:p>
        </w:tc>
      </w:tr>
      <w:tr>
        <w:trPr>
          <w:trHeight w:val="108"/>
        </w:trPr>
        <w:tc>
          <w:tcPr>
            <w:tcW w:w="562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1440" w:type="dxa"/>
            <w:vAlign w:val="bottom"/>
            <w:gridSpan w:val="2"/>
          </w:tcPr>
          <w:p>
            <w:pPr>
              <w:ind w:left="360"/>
              <w:spacing w:after="0" w:line="108" w:lineRule="exact"/>
              <w:rPr>
                <w:sz w:val="20"/>
                <w:szCs w:val="20"/>
                <w:color w:val="auto"/>
              </w:rPr>
            </w:pPr>
            <w:r>
              <w:rPr>
                <w:rFonts w:ascii="Times New Roman" w:cs="Times New Roman" w:eastAsia="Times New Roman" w:hAnsi="Times New Roman"/>
                <w:sz w:val="11"/>
                <w:szCs w:val="11"/>
                <w:b w:val="1"/>
                <w:bCs w:val="1"/>
                <w:color w:val="auto"/>
              </w:rPr>
              <w:t>(A)</w:t>
            </w:r>
          </w:p>
        </w:tc>
        <w:tc>
          <w:tcPr>
            <w:tcW w:w="30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1900" w:type="dxa"/>
            <w:vAlign w:val="bottom"/>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6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Rental revenues</w:t>
            </w:r>
          </w:p>
        </w:tc>
        <w:tc>
          <w:tcPr>
            <w:tcW w:w="64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209,935</w:t>
            </w:r>
          </w:p>
        </w:tc>
        <w:tc>
          <w:tcPr>
            <w:tcW w:w="8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209,935</w:t>
            </w:r>
          </w:p>
        </w:tc>
        <w:tc>
          <w:tcPr>
            <w:tcW w:w="0" w:type="dxa"/>
            <w:vAlign w:val="bottom"/>
          </w:tcPr>
          <w:p>
            <w:pPr>
              <w:spacing w:after="0"/>
              <w:rPr>
                <w:sz w:val="1"/>
                <w:szCs w:val="1"/>
                <w:color w:val="auto"/>
              </w:rPr>
            </w:pPr>
          </w:p>
        </w:tc>
      </w:tr>
      <w:tr>
        <w:trPr>
          <w:trHeight w:val="227"/>
        </w:trPr>
        <w:tc>
          <w:tcPr>
            <w:tcW w:w="56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209,935</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209,935</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Rental expenses</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47,073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47,073</w:t>
            </w: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Real estate taxes</w:t>
            </w:r>
          </w:p>
        </w:tc>
        <w:tc>
          <w:tcPr>
            <w:tcW w:w="6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20,709</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20,709</w:t>
            </w:r>
          </w:p>
        </w:tc>
        <w:tc>
          <w:tcPr>
            <w:tcW w:w="0" w:type="dxa"/>
            <w:vAlign w:val="bottom"/>
          </w:tcPr>
          <w:p>
            <w:pPr>
              <w:spacing w:after="0"/>
              <w:rPr>
                <w:sz w:val="1"/>
                <w:szCs w:val="1"/>
                <w:color w:val="auto"/>
              </w:rPr>
            </w:pPr>
          </w:p>
        </w:tc>
      </w:tr>
      <w:tr>
        <w:trPr>
          <w:trHeight w:val="226"/>
        </w:trPr>
        <w:tc>
          <w:tcPr>
            <w:tcW w:w="5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71,891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71,891</w:t>
            </w: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6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19,937</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19,937</w:t>
            </w:r>
          </w:p>
        </w:tc>
        <w:tc>
          <w:tcPr>
            <w:tcW w:w="0" w:type="dxa"/>
            <w:vAlign w:val="bottom"/>
          </w:tcPr>
          <w:p>
            <w:pPr>
              <w:spacing w:after="0"/>
              <w:rPr>
                <w:sz w:val="1"/>
                <w:szCs w:val="1"/>
                <w:color w:val="auto"/>
              </w:rPr>
            </w:pPr>
          </w:p>
        </w:tc>
      </w:tr>
      <w:tr>
        <w:trPr>
          <w:trHeight w:val="226"/>
        </w:trPr>
        <w:tc>
          <w:tcPr>
            <w:tcW w:w="5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Acquisition, development, and other pursuit costs</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Impairment charges</w:t>
            </w:r>
          </w:p>
        </w:tc>
        <w:tc>
          <w:tcPr>
            <w:tcW w:w="6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219"/>
        </w:trPr>
        <w:tc>
          <w:tcPr>
            <w:tcW w:w="5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6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160,021</w:t>
            </w:r>
          </w:p>
        </w:tc>
        <w:tc>
          <w:tcPr>
            <w:tcW w:w="8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160,021</w:t>
            </w:r>
          </w:p>
        </w:tc>
        <w:tc>
          <w:tcPr>
            <w:tcW w:w="0" w:type="dxa"/>
            <w:vAlign w:val="bottom"/>
          </w:tcPr>
          <w:p>
            <w:pPr>
              <w:spacing w:after="0"/>
              <w:rPr>
                <w:sz w:val="1"/>
                <w:szCs w:val="1"/>
                <w:color w:val="auto"/>
              </w:rPr>
            </w:pPr>
          </w:p>
        </w:tc>
      </w:tr>
      <w:tr>
        <w:trPr>
          <w:trHeight w:val="227"/>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49,914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49,914</w:t>
            </w:r>
          </w:p>
        </w:tc>
        <w:tc>
          <w:tcPr>
            <w:tcW w:w="0" w:type="dxa"/>
            <w:vAlign w:val="bottom"/>
          </w:tcPr>
          <w:p>
            <w:pPr>
              <w:spacing w:after="0"/>
              <w:rPr>
                <w:sz w:val="1"/>
                <w:szCs w:val="1"/>
                <w:color w:val="auto"/>
              </w:rPr>
            </w:pPr>
          </w:p>
        </w:tc>
      </w:tr>
      <w:tr>
        <w:trPr>
          <w:trHeight w:val="226"/>
        </w:trPr>
        <w:tc>
          <w:tcPr>
            <w:tcW w:w="5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Interest income</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Interest expense</w:t>
            </w:r>
          </w:p>
        </w:tc>
        <w:tc>
          <w:tcPr>
            <w:tcW w:w="6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(57,748)</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(57,748)</w:t>
            </w:r>
          </w:p>
        </w:tc>
        <w:tc>
          <w:tcPr>
            <w:tcW w:w="0" w:type="dxa"/>
            <w:vAlign w:val="bottom"/>
          </w:tcPr>
          <w:p>
            <w:pPr>
              <w:spacing w:after="0"/>
              <w:rPr>
                <w:sz w:val="1"/>
                <w:szCs w:val="1"/>
                <w:color w:val="auto"/>
              </w:rPr>
            </w:pPr>
          </w:p>
        </w:tc>
      </w:tr>
      <w:tr>
        <w:trPr>
          <w:trHeight w:val="226"/>
        </w:trPr>
        <w:tc>
          <w:tcPr>
            <w:tcW w:w="5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Equity in income (loss) of unconsolidated real estate entities</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(2,234)</w:t>
            </w: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(Loss) gain on consolidation of real estate entities</w:t>
            </w:r>
          </w:p>
        </w:tc>
        <w:tc>
          <w:tcPr>
            <w:tcW w:w="6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3,768</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3,768</w:t>
            </w:r>
          </w:p>
        </w:tc>
        <w:tc>
          <w:tcPr>
            <w:tcW w:w="0" w:type="dxa"/>
            <w:vAlign w:val="bottom"/>
          </w:tcPr>
          <w:p>
            <w:pPr>
              <w:spacing w:after="0"/>
              <w:rPr>
                <w:sz w:val="1"/>
                <w:szCs w:val="1"/>
                <w:color w:val="auto"/>
              </w:rPr>
            </w:pPr>
          </w:p>
        </w:tc>
      </w:tr>
      <w:tr>
        <w:trPr>
          <w:trHeight w:val="226"/>
        </w:trPr>
        <w:tc>
          <w:tcPr>
            <w:tcW w:w="5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Change in fair value of derivatives and other</w:t>
            </w:r>
          </w:p>
        </w:tc>
        <w:tc>
          <w:tcPr>
            <w:tcW w:w="6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w:t>
            </w:r>
          </w:p>
        </w:tc>
        <w:tc>
          <w:tcPr>
            <w:tcW w:w="0" w:type="dxa"/>
            <w:vAlign w:val="bottom"/>
          </w:tcPr>
          <w:p>
            <w:pPr>
              <w:spacing w:after="0"/>
              <w:rPr>
                <w:sz w:val="1"/>
                <w:szCs w:val="1"/>
                <w:color w:val="auto"/>
              </w:rPr>
            </w:pPr>
          </w:p>
        </w:tc>
      </w:tr>
      <w:tr>
        <w:trPr>
          <w:trHeight w:val="226"/>
        </w:trPr>
        <w:tc>
          <w:tcPr>
            <w:tcW w:w="5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Unrealized credit loss release</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6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Loss from continuing operations</w:t>
            </w:r>
          </w:p>
        </w:tc>
        <w:tc>
          <w:tcPr>
            <w:tcW w:w="640" w:type="dxa"/>
            <w:vAlign w:val="bottom"/>
            <w:tcBorders>
              <w:top w:val="single" w:sz="8" w:color="auto"/>
              <w:bottom w:val="single" w:sz="8" w:color="CCEEFF"/>
            </w:tcBorders>
          </w:tcPr>
          <w:p>
            <w:pPr>
              <w:spacing w:after="0"/>
              <w:rPr>
                <w:sz w:val="22"/>
                <w:szCs w:val="22"/>
                <w:color w:val="auto"/>
              </w:rPr>
            </w:pPr>
          </w:p>
        </w:tc>
        <w:tc>
          <w:tcPr>
            <w:tcW w:w="118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(6,327)</w:t>
            </w:r>
          </w:p>
        </w:tc>
        <w:tc>
          <w:tcPr>
            <w:tcW w:w="8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CCEEFF"/>
            </w:tcBorders>
          </w:tcPr>
          <w:p>
            <w:pPr>
              <w:spacing w:after="0"/>
              <w:rPr>
                <w:sz w:val="22"/>
                <w:szCs w:val="22"/>
                <w:color w:val="auto"/>
              </w:rPr>
            </w:pPr>
          </w:p>
        </w:tc>
        <w:tc>
          <w:tcPr>
            <w:tcW w:w="134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CCEEFF"/>
            </w:tcBorders>
          </w:tcPr>
          <w:p>
            <w:pPr>
              <w:spacing w:after="0"/>
              <w:rPr>
                <w:sz w:val="22"/>
                <w:szCs w:val="22"/>
                <w:color w:val="auto"/>
              </w:rPr>
            </w:pPr>
          </w:p>
        </w:tc>
        <w:tc>
          <w:tcPr>
            <w:tcW w:w="150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(6,327)</w:t>
            </w:r>
          </w:p>
        </w:tc>
        <w:tc>
          <w:tcPr>
            <w:tcW w:w="0" w:type="dxa"/>
            <w:vAlign w:val="bottom"/>
          </w:tcPr>
          <w:p>
            <w:pPr>
              <w:spacing w:after="0"/>
              <w:rPr>
                <w:sz w:val="1"/>
                <w:szCs w:val="1"/>
                <w:color w:val="auto"/>
              </w:rPr>
            </w:pPr>
          </w:p>
        </w:tc>
      </w:tr>
      <w:tr>
        <w:trPr>
          <w:trHeight w:val="284"/>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Income from discontinued operations, net of taxes</w:t>
            </w:r>
          </w:p>
        </w:tc>
        <w:tc>
          <w:tcPr>
            <w:tcW w:w="64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10,235</w:t>
            </w:r>
          </w:p>
        </w:tc>
        <w:tc>
          <w:tcPr>
            <w:tcW w:w="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22,957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33,192</w:t>
            </w:r>
          </w:p>
        </w:tc>
        <w:tc>
          <w:tcPr>
            <w:tcW w:w="0" w:type="dxa"/>
            <w:vAlign w:val="bottom"/>
          </w:tcPr>
          <w:p>
            <w:pPr>
              <w:spacing w:after="0"/>
              <w:rPr>
                <w:sz w:val="1"/>
                <w:szCs w:val="1"/>
                <w:color w:val="auto"/>
              </w:rPr>
            </w:pPr>
          </w:p>
        </w:tc>
      </w:tr>
      <w:tr>
        <w:trPr>
          <w:trHeight w:val="219"/>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64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3,908</w:t>
            </w:r>
          </w:p>
        </w:tc>
        <w:tc>
          <w:tcPr>
            <w:tcW w:w="80" w:type="dxa"/>
            <w:vAlign w:val="bottom"/>
          </w:tcPr>
          <w:p>
            <w:pPr>
              <w:spacing w:after="0"/>
              <w:rPr>
                <w:sz w:val="19"/>
                <w:szCs w:val="19"/>
                <w:color w:val="auto"/>
              </w:rPr>
            </w:pPr>
          </w:p>
        </w:tc>
        <w:tc>
          <w:tcPr>
            <w:tcW w:w="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22,957</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26,865</w:t>
            </w: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6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Investment entities</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Partnership</w:t>
            </w:r>
          </w:p>
        </w:tc>
        <w:tc>
          <w:tcPr>
            <w:tcW w:w="6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w:t>
            </w:r>
          </w:p>
        </w:tc>
        <w:tc>
          <w:tcPr>
            <w:tcW w:w="8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(3,395)</w:t>
            </w:r>
          </w:p>
        </w:tc>
        <w:tc>
          <w:tcPr>
            <w:tcW w:w="0" w:type="dxa"/>
            <w:vAlign w:val="bottom"/>
          </w:tcPr>
          <w:p>
            <w:pPr>
              <w:spacing w:after="0"/>
              <w:rPr>
                <w:sz w:val="1"/>
                <w:szCs w:val="1"/>
                <w:color w:val="auto"/>
              </w:rPr>
            </w:pPr>
          </w:p>
        </w:tc>
      </w:tr>
      <w:tr>
        <w:trPr>
          <w:trHeight w:val="219"/>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AH Realty Trust, Inc.</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23,569</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Preferred stock dividends</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(11,548)</w:t>
            </w:r>
          </w:p>
        </w:tc>
        <w:tc>
          <w:tcPr>
            <w:tcW w:w="0" w:type="dxa"/>
            <w:vAlign w:val="bottom"/>
          </w:tcPr>
          <w:p>
            <w:pPr>
              <w:spacing w:after="0"/>
              <w:rPr>
                <w:sz w:val="1"/>
                <w:szCs w:val="1"/>
                <w:color w:val="auto"/>
              </w:rPr>
            </w:pPr>
          </w:p>
        </w:tc>
      </w:tr>
      <w:tr>
        <w:trPr>
          <w:trHeight w:val="227"/>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income attributable to common stockholders</w:t>
            </w:r>
          </w:p>
        </w:tc>
        <w:tc>
          <w:tcPr>
            <w:tcW w:w="6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(5,944)</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17,965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12,021</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62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5"/>
                <w:szCs w:val="15"/>
                <w:color w:val="auto"/>
              </w:rPr>
              <w:t>Net (loss) income attributable to common stockholders from continuing</w:t>
            </w:r>
          </w:p>
        </w:tc>
        <w:tc>
          <w:tcPr>
            <w:tcW w:w="64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1"/>
                <w:szCs w:val="11"/>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0" w:type="dxa"/>
            <w:vAlign w:val="bottom"/>
          </w:tcPr>
          <w:p>
            <w:pPr>
              <w:spacing w:after="0"/>
              <w:rPr>
                <w:sz w:val="1"/>
                <w:szCs w:val="1"/>
                <w:color w:val="auto"/>
              </w:rPr>
            </w:pPr>
          </w:p>
        </w:tc>
      </w:tr>
      <w:tr>
        <w:trPr>
          <w:trHeight w:val="224"/>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operations per share (basic and diluted)</w:t>
            </w:r>
          </w:p>
        </w:tc>
        <w:tc>
          <w:tcPr>
            <w:tcW w:w="6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56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Net income attributable to common stockholders from discontinued operations</w:t>
            </w:r>
          </w:p>
        </w:tc>
        <w:tc>
          <w:tcPr>
            <w:tcW w:w="6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per share (basic and diluted)</w:t>
            </w: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Net (loss) income attributable to common stockholders per share (basic and</w:t>
            </w:r>
          </w:p>
        </w:tc>
        <w:tc>
          <w:tcPr>
            <w:tcW w:w="64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0" w:type="dxa"/>
            <w:vAlign w:val="bottom"/>
          </w:tcPr>
          <w:p>
            <w:pPr>
              <w:spacing w:after="0"/>
              <w:rPr>
                <w:sz w:val="1"/>
                <w:szCs w:val="1"/>
                <w:color w:val="auto"/>
              </w:rPr>
            </w:pPr>
          </w:p>
        </w:tc>
      </w:tr>
      <w:tr>
        <w:trPr>
          <w:trHeight w:val="217"/>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6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 (basic and diluted)</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80,116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79,840</w:t>
            </w:r>
          </w:p>
        </w:tc>
        <w:tc>
          <w:tcPr>
            <w:tcW w:w="0" w:type="dxa"/>
            <w:vAlign w:val="bottom"/>
          </w:tcPr>
          <w:p>
            <w:pPr>
              <w:spacing w:after="0"/>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pro forma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AH REALTY TRUST,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Unaudited Pro Forma Condensed Consolidated Balance Sheet</w:t>
      </w:r>
    </w:p>
    <w:p>
      <w:pPr>
        <w:spacing w:after="0" w:line="256" w:lineRule="exact"/>
        <w:rPr>
          <w:sz w:val="20"/>
          <w:szCs w:val="20"/>
          <w:color w:val="auto"/>
        </w:rPr>
      </w:pPr>
    </w:p>
    <w:p>
      <w:pPr>
        <w:ind w:right="180" w:firstLine="8"/>
        <w:spacing w:after="0" w:line="276" w:lineRule="auto"/>
        <w:tabs>
          <w:tab w:leader="none" w:pos="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removal of the assets and liabilities associated with the assets disposed of in the First Closing. The transaction accounting adjustments are as follows:</w:t>
      </w:r>
    </w:p>
    <w:p>
      <w:pPr>
        <w:spacing w:after="0" w:line="1" w:lineRule="exact"/>
        <w:rPr>
          <w:sz w:val="20"/>
          <w:szCs w:val="20"/>
          <w:color w:val="auto"/>
        </w:rPr>
      </w:pPr>
    </w:p>
    <w:tbl>
      <w:tblPr>
        <w:tblLayout w:type="fixed"/>
        <w:tblInd w:w="2760" w:type="dxa"/>
        <w:tblCellMar>
          <w:top w:w="0" w:type="dxa"/>
          <w:left w:w="0" w:type="dxa"/>
          <w:bottom w:w="0" w:type="dxa"/>
          <w:right w:w="0" w:type="dxa"/>
        </w:tblCellMar>
      </w:tblP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real estate investments</w:t>
            </w:r>
          </w:p>
        </w:tc>
        <w:tc>
          <w:tcPr>
            <w:tcW w:w="64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441,183</w:t>
            </w:r>
          </w:p>
        </w:tc>
      </w:tr>
      <w:tr>
        <w:trPr>
          <w:trHeight w:val="226"/>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6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9,867</w:t>
            </w:r>
          </w:p>
        </w:tc>
      </w:tr>
      <w:tr>
        <w:trPr>
          <w:trHeight w:val="23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Acquired lease intangible assets</w:t>
            </w:r>
          </w:p>
        </w:tc>
        <w:tc>
          <w:tcPr>
            <w:tcW w:w="6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r>
      <w:tr>
        <w:trPr>
          <w:trHeight w:val="219"/>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book value of real estate assets</w:t>
            </w:r>
          </w:p>
        </w:tc>
        <w:tc>
          <w:tcPr>
            <w:tcW w:w="64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451,462</w:t>
            </w:r>
          </w:p>
        </w:tc>
      </w:tr>
      <w:tr>
        <w:trPr>
          <w:trHeight w:val="260"/>
        </w:trPr>
        <w:tc>
          <w:tcPr>
            <w:tcW w:w="38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26"/>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sales price</w:t>
            </w:r>
          </w:p>
        </w:tc>
        <w:tc>
          <w:tcPr>
            <w:tcW w:w="6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485,000</w:t>
            </w:r>
          </w:p>
        </w:tc>
      </w:tr>
      <w:tr>
        <w:trPr>
          <w:trHeight w:val="233"/>
        </w:trPr>
        <w:tc>
          <w:tcPr>
            <w:tcW w:w="388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7"/>
                <w:szCs w:val="17"/>
                <w:color w:val="auto"/>
              </w:rPr>
              <w:t>Estimated closing costs</w:t>
            </w:r>
            <w:r>
              <w:rPr>
                <w:rFonts w:ascii="Times New Roman" w:cs="Times New Roman" w:eastAsia="Times New Roman" w:hAnsi="Times New Roman"/>
                <w:sz w:val="22"/>
                <w:szCs w:val="22"/>
                <w:color w:val="auto"/>
                <w:vertAlign w:val="superscript"/>
              </w:rPr>
              <w:t>(1)</w:t>
            </w:r>
          </w:p>
        </w:tc>
        <w:tc>
          <w:tcPr>
            <w:tcW w:w="6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(12,141)</w:t>
            </w:r>
          </w:p>
        </w:tc>
      </w:tr>
      <w:tr>
        <w:trPr>
          <w:trHeight w:val="219"/>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Estimated net proceeds</w:t>
            </w:r>
          </w:p>
        </w:tc>
        <w:tc>
          <w:tcPr>
            <w:tcW w:w="6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472,859</w:t>
            </w: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book value</w:t>
            </w:r>
          </w:p>
        </w:tc>
        <w:tc>
          <w:tcPr>
            <w:tcW w:w="6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(451,462)</w:t>
            </w:r>
          </w:p>
        </w:tc>
      </w:tr>
      <w:tr>
        <w:trPr>
          <w:trHeight w:val="227"/>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Cumulative net income adjustment</w:t>
            </w:r>
          </w:p>
        </w:tc>
        <w:tc>
          <w:tcPr>
            <w:tcW w:w="6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21,397</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6"/>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Estimated net proceeds</w:t>
            </w:r>
          </w:p>
        </w:tc>
        <w:tc>
          <w:tcPr>
            <w:tcW w:w="64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472,859</w:t>
            </w:r>
          </w:p>
        </w:tc>
      </w:tr>
      <w:tr>
        <w:trPr>
          <w:trHeight w:val="233"/>
        </w:trPr>
        <w:tc>
          <w:tcPr>
            <w:tcW w:w="388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7"/>
                <w:szCs w:val="17"/>
                <w:color w:val="auto"/>
              </w:rPr>
              <w:t>Debt repayments</w:t>
            </w:r>
            <w:r>
              <w:rPr>
                <w:rFonts w:ascii="Times New Roman" w:cs="Times New Roman" w:eastAsia="Times New Roman" w:hAnsi="Times New Roman"/>
                <w:sz w:val="22"/>
                <w:szCs w:val="22"/>
                <w:color w:val="auto"/>
                <w:vertAlign w:val="superscript"/>
              </w:rPr>
              <w:t>(2)</w:t>
            </w:r>
          </w:p>
        </w:tc>
        <w:tc>
          <w:tcPr>
            <w:tcW w:w="6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(460,506)</w:t>
            </w: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received</w:t>
            </w:r>
          </w:p>
        </w:tc>
        <w:tc>
          <w:tcPr>
            <w:tcW w:w="6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12,353</w:t>
            </w:r>
          </w:p>
        </w:tc>
      </w:tr>
      <w:tr>
        <w:trPr>
          <w:trHeight w:val="21"/>
        </w:trPr>
        <w:tc>
          <w:tcPr>
            <w:tcW w:w="38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right="80" w:hanging="4"/>
        <w:spacing w:after="0" w:line="257" w:lineRule="auto"/>
        <w:tabs>
          <w:tab w:leader="none" w:pos="9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closing costs including broker’s commissions, legal fees, transfer and recording fees and other customary closing costs directly attributable to the sale of the nine assets in the First Closing. Includes $6.4 million of escrows funded by the Company in connection with the sale.</w:t>
      </w:r>
    </w:p>
    <w:p>
      <w:pPr>
        <w:spacing w:after="0" w:line="1" w:lineRule="exact"/>
        <w:rPr>
          <w:rFonts w:ascii="Times New Roman" w:cs="Times New Roman" w:eastAsia="Times New Roman" w:hAnsi="Times New Roman"/>
          <w:sz w:val="18"/>
          <w:szCs w:val="18"/>
          <w:color w:val="auto"/>
        </w:rPr>
      </w:pPr>
    </w:p>
    <w:p>
      <w:pPr>
        <w:ind w:left="660" w:right="140" w:hanging="4"/>
        <w:spacing w:after="0" w:line="255" w:lineRule="auto"/>
        <w:tabs>
          <w:tab w:leader="none" w:pos="9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repayment of the mortgages secured by 1305 Dock Street, Allied | Harbor Point, Encore Apartments, Liberty Apartments, The Cosmopolitan, and The Edison, and the use of additional proceeds to repay borrowings outstanding on the revolving credit facility using sales proceeds from the First Closing.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Unaudited Pro Forma Condensed Consolidated Statements of Income (Loss)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w:t>
      </w:r>
    </w:p>
    <w:p>
      <w:pPr>
        <w:spacing w:after="0" w:line="256" w:lineRule="exact"/>
        <w:rPr>
          <w:sz w:val="20"/>
          <w:szCs w:val="20"/>
          <w:color w:val="auto"/>
        </w:rPr>
      </w:pPr>
    </w:p>
    <w:p>
      <w:pPr>
        <w:ind w:right="120" w:firstLine="8"/>
        <w:spacing w:after="0" w:line="266" w:lineRule="auto"/>
        <w:tabs>
          <w:tab w:leader="none" w:pos="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removal of the historical revenues and expenses for the three months ended March 31, 2026, of the nine properties included in the First Closing. Summarized results of discontinued operations for the three months ended March 31, 2026, related to the nine properties included in the First Closing, are shown below (in thousands):</w:t>
      </w:r>
    </w:p>
    <w:p>
      <w:pPr>
        <w:spacing w:after="0" w:line="5" w:lineRule="exact"/>
        <w:rPr>
          <w:sz w:val="20"/>
          <w:szCs w:val="20"/>
          <w:color w:val="auto"/>
        </w:rPr>
      </w:pPr>
    </w:p>
    <w:tbl>
      <w:tblPr>
        <w:tblLayout w:type="fixed"/>
        <w:tblInd w:w="1760" w:type="dxa"/>
        <w:tblCellMar>
          <w:top w:w="0" w:type="dxa"/>
          <w:left w:w="0" w:type="dxa"/>
          <w:bottom w:w="0" w:type="dxa"/>
          <w:right w:w="0" w:type="dxa"/>
        </w:tblCellMar>
      </w:tblP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revenues</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13,141</w:t>
            </w: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700" w:type="dxa"/>
            <w:vAlign w:val="bottom"/>
          </w:tcPr>
          <w:p>
            <w:pPr>
              <w:spacing w:after="0"/>
              <w:rPr>
                <w:sz w:val="19"/>
                <w:szCs w:val="19"/>
                <w:color w:val="auto"/>
              </w:rPr>
            </w:pPr>
          </w:p>
        </w:tc>
        <w:tc>
          <w:tcPr>
            <w:tcW w:w="114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(4,763)</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taxes</w:t>
            </w: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8"/>
              </w:rPr>
              <w:t>(1,270)</w:t>
            </w:r>
          </w:p>
        </w:tc>
      </w:tr>
      <w:tr>
        <w:trPr>
          <w:trHeight w:val="230"/>
        </w:trPr>
        <w:tc>
          <w:tcPr>
            <w:tcW w:w="58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Non-operating income and expenses</w:t>
            </w:r>
            <w:r>
              <w:rPr>
                <w:rFonts w:ascii="Times New Roman" w:cs="Times New Roman" w:eastAsia="Times New Roman" w:hAnsi="Times New Roman"/>
                <w:sz w:val="23"/>
                <w:szCs w:val="23"/>
                <w:color w:val="auto"/>
                <w:vertAlign w:val="superscript"/>
              </w:rPr>
              <w:t>(1)(2)</w:t>
            </w: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8"/>
              </w:rPr>
              <w:t>(8,832)</w:t>
            </w: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discontinued operations, net of tax</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8"/>
              </w:rPr>
              <w:t>(1,724)</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right="60" w:hanging="4"/>
        <w:spacing w:after="0" w:line="261" w:lineRule="auto"/>
        <w:tabs>
          <w:tab w:leader="none" w:pos="9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Non-operating income and expenses includes depreciation and amortization, general and administrative expenses, interest income, and interest expense.</w:t>
      </w:r>
    </w:p>
    <w:p>
      <w:pPr>
        <w:ind w:left="660" w:right="80" w:hanging="4"/>
        <w:spacing w:after="0" w:line="260" w:lineRule="auto"/>
        <w:tabs>
          <w:tab w:leader="none" w:pos="9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is allocated by first allocating secured debt to the relevant properties. Unsecured debt is then allocated using the total value of unencumbered income producing property, and allocated based on property classification.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17" w:right="339" w:bottom="1440" w:gutter="0" w:footer="0" w:header="0"/>
          <w:type w:val="continuous"/>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w:t>
      </w:r>
    </w:p>
    <w:p>
      <w:pPr>
        <w:spacing w:after="0" w:line="256" w:lineRule="exact"/>
        <w:rPr>
          <w:sz w:val="20"/>
          <w:szCs w:val="20"/>
          <w:color w:val="auto"/>
        </w:rPr>
      </w:pPr>
    </w:p>
    <w:p>
      <w:pPr>
        <w:ind w:right="220" w:firstLine="8"/>
        <w:spacing w:after="0" w:line="266" w:lineRule="auto"/>
        <w:tabs>
          <w:tab w:leader="none" w:pos="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removal of the historical revenues and expenses for the year ended December 31, 2025, of the nine properties included in the First Closing, and the addition of the estimated gain on the transaction. Summarized results of discontinued operations for the year ended December 31, 2025, related to the nine properties included in the First Closing, are shown below (in thousands):</w:t>
      </w:r>
    </w:p>
    <w:p>
      <w:pPr>
        <w:spacing w:after="0" w:line="5" w:lineRule="exact"/>
        <w:rPr>
          <w:sz w:val="20"/>
          <w:szCs w:val="20"/>
          <w:color w:val="auto"/>
        </w:rPr>
      </w:pPr>
    </w:p>
    <w:tbl>
      <w:tblPr>
        <w:tblLayout w:type="fixed"/>
        <w:tblInd w:w="1760" w:type="dxa"/>
        <w:tblCellMar>
          <w:top w:w="0" w:type="dxa"/>
          <w:left w:w="0" w:type="dxa"/>
          <w:bottom w:w="0" w:type="dxa"/>
          <w:right w:w="0" w:type="dxa"/>
        </w:tblCellMar>
      </w:tblP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revenues</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47,698</w:t>
            </w: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(15,986)</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taxes</w:t>
            </w: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r>
      <w:tr>
        <w:trPr>
          <w:trHeight w:val="229"/>
        </w:trPr>
        <w:tc>
          <w:tcPr>
            <w:tcW w:w="5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Non-operating income and expenses</w:t>
            </w:r>
            <w:r>
              <w:rPr>
                <w:rFonts w:ascii="Times New Roman" w:cs="Times New Roman" w:eastAsia="Times New Roman" w:hAnsi="Times New Roman"/>
                <w:sz w:val="23"/>
                <w:szCs w:val="23"/>
                <w:color w:val="auto"/>
                <w:vertAlign w:val="superscript"/>
              </w:rPr>
              <w:t>(1)(2)</w:t>
            </w: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(28,374)</w:t>
            </w:r>
          </w:p>
        </w:tc>
      </w:tr>
      <w:tr>
        <w:trPr>
          <w:trHeight w:val="230"/>
        </w:trPr>
        <w:tc>
          <w:tcPr>
            <w:tcW w:w="5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Gain on real estate dispositions</w:t>
            </w:r>
            <w:r>
              <w:rPr>
                <w:rFonts w:ascii="Times New Roman" w:cs="Times New Roman" w:eastAsia="Times New Roman" w:hAnsi="Times New Roman"/>
                <w:sz w:val="23"/>
                <w:szCs w:val="23"/>
                <w:color w:val="auto"/>
                <w:vertAlign w:val="superscript"/>
              </w:rPr>
              <w:t>(3)</w:t>
            </w:r>
          </w:p>
        </w:tc>
        <w:tc>
          <w:tcPr>
            <w:tcW w:w="6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(21,397)</w:t>
            </w: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discontinued operations, net of tax</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(22,957)</w:t>
            </w:r>
          </w:p>
        </w:tc>
      </w:tr>
      <w:tr>
        <w:trPr>
          <w:trHeight w:val="21"/>
        </w:trPr>
        <w:tc>
          <w:tcPr>
            <w:tcW w:w="58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right="60" w:hanging="4"/>
        <w:spacing w:after="0" w:line="261" w:lineRule="auto"/>
        <w:tabs>
          <w:tab w:leader="none" w:pos="9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Non-operating income and expenses includes depreciation and amortization, general and administrative expenses, interest income, and interest expense.</w:t>
      </w:r>
    </w:p>
    <w:p>
      <w:pPr>
        <w:ind w:left="660" w:right="80" w:hanging="4"/>
        <w:spacing w:after="0" w:line="250" w:lineRule="auto"/>
        <w:tabs>
          <w:tab w:leader="none" w:pos="9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is allocated by first allocating secured debt to the relevant properties. Unsecured debt is then allocated using the total value of unencumbered income producing property, and allocated based on property classification.</w:t>
      </w:r>
    </w:p>
    <w:p>
      <w:pPr>
        <w:ind w:left="660" w:right="260" w:hanging="4"/>
        <w:spacing w:after="0" w:line="255" w:lineRule="auto"/>
        <w:tabs>
          <w:tab w:leader="none" w:pos="9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gain on sale of the nine properties included in the First Closing, calculated as the estimated net proceeds of $472.9 million less the net book value of the assets of $451.5 million, both as described in Note A of the adjustments to the unaudited pro forma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endash "/>
      <w:numFmt w:val="bullet"/>
      <w:start w:val="1"/>
    </w:lvl>
  </w:abstractNum>
  <w:abstractNum w:abstractNumId="3">
    <w:nsid w:val="2EB141F2"/>
    <w:multiLevelType w:val="hybridMultilevel"/>
    <w:lvl w:ilvl="0">
      <w:lvlJc w:val="left"/>
      <w:lvlText w:val="(%1)"/>
      <w:numFmt w:val="upperLetter"/>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upperLetter"/>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upp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2026-05-22T16:31:18Z</dcterms:created>
  <dcterms:modified xsi:type="dcterms:W3CDTF">2026-05-22T16:31:18Z</dcterms:modified>
</cp:coreProperties>
</file>