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Armada Hoffler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Real Estate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04208T108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04208T108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right="7200" w:hanging="776"/>
        <w:spacing w:after="0" w:line="299" w:lineRule="auto"/>
        <w:tabs>
          <w:tab w:leader="none" w:pos="1380" w:val="left"/>
        </w:tabs>
        <w:numPr>
          <w:ilvl w:val="0"/>
          <w:numId w:val="2"/>
        </w:numPr>
        <w:rPr>
          <w:rFonts w:ascii="Arial" w:cs="Arial" w:eastAsia="Arial" w:hAnsi="Arial"/>
          <w:sz w:val="19"/>
          <w:szCs w:val="19"/>
          <w:color w:val="auto"/>
        </w:rPr>
      </w:pPr>
      <w:r>
        <w:rPr>
          <w:rFonts w:ascii="Arial" w:cs="Arial" w:eastAsia="Arial" w:hAnsi="Arial"/>
          <w:sz w:val="19"/>
          <w:szCs w:val="19"/>
          <w:color w:val="auto"/>
        </w:rPr>
        <w:t>NAME OF REPORTING PERSON Forward Management, LLC</w:t>
      </w:r>
    </w:p>
    <w:p>
      <w:pPr>
        <w:spacing w:after="0" w:line="147"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94-3310130</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3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20" w:type="dxa"/>
            <w:vAlign w:val="bottom"/>
          </w:tcPr>
          <w:p>
            <w:pPr>
              <w:spacing w:after="0"/>
              <w:rPr>
                <w:sz w:val="22"/>
                <w:szCs w:val="22"/>
                <w:color w:val="auto"/>
              </w:rPr>
            </w:pPr>
          </w:p>
        </w:tc>
        <w:tc>
          <w:tcPr>
            <w:tcW w:w="10180" w:type="dxa"/>
            <w:vAlign w:val="bottom"/>
            <w:gridSpan w:val="3"/>
          </w:tcPr>
          <w:p>
            <w:pPr>
              <w:ind w:left="40"/>
              <w:spacing w:after="0"/>
              <w:rPr>
                <w:sz w:val="20"/>
                <w:szCs w:val="20"/>
                <w:color w:val="auto"/>
              </w:rPr>
            </w:pPr>
            <w:r>
              <w:rPr>
                <w:rFonts w:ascii="Arial" w:cs="Arial" w:eastAsia="Arial" w:hAnsi="Arial"/>
                <w:sz w:val="20"/>
                <w:szCs w:val="20"/>
                <w:color w:val="auto"/>
              </w:rPr>
              <w:t>SEC USE ONLY</w:t>
            </w:r>
          </w:p>
        </w:tc>
        <w:tc>
          <w:tcPr>
            <w:tcW w:w="0" w:type="dxa"/>
            <w:vAlign w:val="bottom"/>
          </w:tcPr>
          <w:p>
            <w:pPr>
              <w:spacing w:after="0"/>
              <w:rPr>
                <w:sz w:val="1"/>
                <w:szCs w:val="1"/>
                <w:color w:val="auto"/>
              </w:rPr>
            </w:pPr>
          </w:p>
        </w:tc>
      </w:tr>
      <w:tr>
        <w:trPr>
          <w:trHeight w:val="286"/>
        </w:trPr>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2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20" w:type="dxa"/>
            <w:vAlign w:val="bottom"/>
          </w:tcPr>
          <w:p>
            <w:pPr>
              <w:spacing w:after="0"/>
              <w:rPr>
                <w:sz w:val="23"/>
                <w:szCs w:val="23"/>
                <w:color w:val="auto"/>
              </w:rPr>
            </w:pPr>
          </w:p>
        </w:tc>
        <w:tc>
          <w:tcPr>
            <w:tcW w:w="10180" w:type="dxa"/>
            <w:vAlign w:val="bottom"/>
            <w:gridSpan w:val="3"/>
          </w:tcPr>
          <w:p>
            <w:pPr>
              <w:ind w:left="40"/>
              <w:spacing w:after="0"/>
              <w:rPr>
                <w:sz w:val="20"/>
                <w:szCs w:val="20"/>
                <w:color w:val="auto"/>
              </w:rPr>
            </w:pPr>
            <w:r>
              <w:rPr>
                <w:rFonts w:ascii="Arial" w:cs="Arial" w:eastAsia="Arial" w:hAnsi="Arial"/>
                <w:sz w:val="20"/>
                <w:szCs w:val="20"/>
                <w:color w:val="auto"/>
              </w:rPr>
              <w:t>CITIZENSHIP OR PLACE OF ORGANIZATION</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20"/>
                <w:szCs w:val="20"/>
                <w:color w:val="auto"/>
              </w:rPr>
              <w:t>Delaware</w:t>
            </w:r>
          </w:p>
        </w:tc>
        <w:tc>
          <w:tcPr>
            <w:tcW w:w="8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1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898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90"/>
        </w:trPr>
        <w:tc>
          <w:tcPr>
            <w:tcW w:w="1860" w:type="dxa"/>
            <w:vAlign w:val="bottom"/>
            <w:tcBorders>
              <w:right w:val="single" w:sz="8" w:color="auto"/>
            </w:tcBorders>
            <w:gridSpan w:val="3"/>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1,191,900</w:t>
            </w:r>
          </w:p>
        </w:tc>
        <w:tc>
          <w:tcPr>
            <w:tcW w:w="0" w:type="dxa"/>
            <w:vAlign w:val="bottom"/>
          </w:tcPr>
          <w:p>
            <w:pPr>
              <w:spacing w:after="0"/>
              <w:rPr>
                <w:sz w:val="1"/>
                <w:szCs w:val="1"/>
                <w:color w:val="auto"/>
              </w:rPr>
            </w:pPr>
          </w:p>
        </w:tc>
      </w:tr>
      <w:tr>
        <w:trPr>
          <w:trHeight w:val="171"/>
        </w:trPr>
        <w:tc>
          <w:tcPr>
            <w:tcW w:w="1340" w:type="dxa"/>
            <w:vAlign w:val="bottom"/>
            <w:gridSpan w:val="2"/>
            <w:vMerge w:val="restart"/>
          </w:tcPr>
          <w:p>
            <w:pPr>
              <w:jc w:val="center"/>
              <w:ind w:left="418"/>
              <w:spacing w:after="0" w:line="227" w:lineRule="exact"/>
              <w:rPr>
                <w:sz w:val="20"/>
                <w:szCs w:val="20"/>
                <w:color w:val="auto"/>
              </w:rPr>
            </w:pPr>
            <w:r>
              <w:rPr>
                <w:rFonts w:ascii="Arial" w:cs="Arial" w:eastAsia="Arial" w:hAnsi="Arial"/>
                <w:sz w:val="20"/>
                <w:szCs w:val="20"/>
                <w:color w:val="auto"/>
                <w:w w:val="94"/>
              </w:rPr>
              <w:t>SHARES</w:t>
            </w:r>
          </w:p>
        </w:tc>
        <w:tc>
          <w:tcPr>
            <w:tcW w:w="5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340" w:type="dxa"/>
            <w:vAlign w:val="bottom"/>
            <w:gridSpan w:val="2"/>
            <w:vMerge w:val="continue"/>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898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15"/>
        </w:trPr>
        <w:tc>
          <w:tcPr>
            <w:tcW w:w="1860" w:type="dxa"/>
            <w:vAlign w:val="bottom"/>
            <w:tcBorders>
              <w:right w:val="single" w:sz="8" w:color="auto"/>
            </w:tcBorders>
            <w:gridSpan w:val="3"/>
            <w:vMerge w:val="restart"/>
          </w:tcPr>
          <w:p>
            <w:pPr>
              <w:jc w:val="center"/>
              <w:spacing w:after="0" w:line="209"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tcBorders>
              <w:right w:val="single" w:sz="8" w:color="auto"/>
            </w:tcBorders>
            <w:gridSpan w:val="3"/>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340" w:type="dxa"/>
            <w:vAlign w:val="bottom"/>
            <w:gridSpan w:val="2"/>
          </w:tcPr>
          <w:p>
            <w:pPr>
              <w:jc w:val="center"/>
              <w:ind w:left="398"/>
              <w:spacing w:after="0" w:line="201" w:lineRule="exact"/>
              <w:rPr>
                <w:sz w:val="20"/>
                <w:szCs w:val="20"/>
                <w:color w:val="auto"/>
              </w:rPr>
            </w:pPr>
            <w:r>
              <w:rPr>
                <w:rFonts w:ascii="Arial" w:cs="Arial" w:eastAsia="Arial" w:hAnsi="Arial"/>
                <w:sz w:val="20"/>
                <w:szCs w:val="20"/>
                <w:color w:val="auto"/>
              </w:rPr>
              <w:t>EACH</w:t>
            </w:r>
          </w:p>
        </w:tc>
        <w:tc>
          <w:tcPr>
            <w:tcW w:w="5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8980" w:type="dxa"/>
            <w:vAlign w:val="bottom"/>
          </w:tcPr>
          <w:p>
            <w:pPr>
              <w:ind w:left="60"/>
              <w:spacing w:after="0"/>
              <w:rPr>
                <w:sz w:val="20"/>
                <w:szCs w:val="20"/>
                <w:color w:val="auto"/>
              </w:rPr>
            </w:pPr>
            <w:r>
              <w:rPr>
                <w:rFonts w:ascii="Arial" w:cs="Arial" w:eastAsia="Arial" w:hAnsi="Arial"/>
                <w:sz w:val="20"/>
                <w:szCs w:val="20"/>
                <w:color w:val="auto"/>
              </w:rPr>
              <w:t>1,191,900</w:t>
            </w:r>
          </w:p>
        </w:tc>
        <w:tc>
          <w:tcPr>
            <w:tcW w:w="0" w:type="dxa"/>
            <w:vAlign w:val="bottom"/>
          </w:tcPr>
          <w:p>
            <w:pPr>
              <w:spacing w:after="0"/>
              <w:rPr>
                <w:sz w:val="1"/>
                <w:szCs w:val="1"/>
                <w:color w:val="auto"/>
              </w:rPr>
            </w:pPr>
          </w:p>
        </w:tc>
      </w:tr>
      <w:tr>
        <w:trPr>
          <w:trHeight w:val="47"/>
        </w:trPr>
        <w:tc>
          <w:tcPr>
            <w:tcW w:w="1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7"/>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60" w:type="dxa"/>
            <w:vAlign w:val="bottom"/>
            <w:tcBorders>
              <w:right w:val="single" w:sz="8" w:color="auto"/>
            </w:tcBorders>
            <w:gridSpan w:val="3"/>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tcPr>
          <w:p>
            <w:pPr>
              <w:spacing w:after="0"/>
              <w:rPr>
                <w:sz w:val="23"/>
                <w:szCs w:val="23"/>
                <w:color w:val="auto"/>
              </w:rPr>
            </w:pPr>
          </w:p>
        </w:tc>
        <w:tc>
          <w:tcPr>
            <w:tcW w:w="10180" w:type="dxa"/>
            <w:vAlign w:val="bottom"/>
            <w:gridSpan w:val="3"/>
          </w:tcPr>
          <w:p>
            <w:pPr>
              <w:ind w:left="40"/>
              <w:spacing w:after="0"/>
              <w:rPr>
                <w:sz w:val="20"/>
                <w:szCs w:val="20"/>
                <w:color w:val="auto"/>
              </w:rPr>
            </w:pPr>
            <w:r>
              <w:rPr>
                <w:rFonts w:ascii="Arial" w:cs="Arial" w:eastAsia="Arial" w:hAnsi="Arial"/>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261"/>
        </w:trPr>
        <w:tc>
          <w:tcPr>
            <w:tcW w:w="13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20"/>
                <w:szCs w:val="20"/>
                <w:color w:val="auto"/>
              </w:rPr>
              <w:t>1,191,900</w:t>
            </w:r>
          </w:p>
        </w:tc>
        <w:tc>
          <w:tcPr>
            <w:tcW w:w="8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20" w:type="dxa"/>
            <w:vAlign w:val="bottom"/>
          </w:tcPr>
          <w:p>
            <w:pPr>
              <w:spacing w:after="0"/>
              <w:rPr>
                <w:sz w:val="24"/>
                <w:szCs w:val="24"/>
                <w:color w:val="auto"/>
              </w:rPr>
            </w:pPr>
          </w:p>
        </w:tc>
        <w:tc>
          <w:tcPr>
            <w:tcW w:w="10180" w:type="dxa"/>
            <w:vAlign w:val="bottom"/>
            <w:gridSpan w:val="3"/>
          </w:tcPr>
          <w:p>
            <w:pPr>
              <w:ind w:left="40"/>
              <w:spacing w:after="0"/>
              <w:rPr>
                <w:sz w:val="20"/>
                <w:szCs w:val="20"/>
                <w:color w:val="auto"/>
              </w:rPr>
            </w:pPr>
            <w:r>
              <w:rPr>
                <w:rFonts w:ascii="Arial" w:cs="Arial" w:eastAsia="Arial" w:hAnsi="Arial"/>
                <w:sz w:val="20"/>
                <w:szCs w:val="20"/>
                <w:color w:val="auto"/>
              </w:rPr>
              <w:t>CHECK BOX IF THE AGGREGATE AMOUNT IN ROW (9) EXCLUDES CERTAIN SHARES []</w:t>
            </w:r>
          </w:p>
        </w:tc>
        <w:tc>
          <w:tcPr>
            <w:tcW w:w="0" w:type="dxa"/>
            <w:vAlign w:val="bottom"/>
          </w:tcPr>
          <w:p>
            <w:pPr>
              <w:spacing w:after="0"/>
              <w:rPr>
                <w:sz w:val="1"/>
                <w:szCs w:val="1"/>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80" w:right="4380" w:hanging="823"/>
        <w:spacing w:after="0" w:line="272" w:lineRule="auto"/>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799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799465"/>
                    </a:xfrm>
                    <a:prstGeom prst="rect">
                      <a:avLst/>
                    </a:prstGeom>
                    <a:noFill/>
                  </pic:spPr>
                </pic:pic>
              </a:graphicData>
            </a:graphic>
          </wp:anchor>
        </w:drawing>
        <w:t>PERCENT OF CLASS REPRESENTED BY AMOUNT IN ROW (9) 6.22%</w:t>
      </w:r>
    </w:p>
    <w:p>
      <w:pPr>
        <w:spacing w:after="0" w:line="80" w:lineRule="exact"/>
        <w:rPr>
          <w:rFonts w:ascii="Arial" w:cs="Arial" w:eastAsia="Arial" w:hAnsi="Arial"/>
          <w:sz w:val="20"/>
          <w:szCs w:val="20"/>
          <w:color w:val="auto"/>
        </w:rPr>
      </w:pPr>
    </w:p>
    <w:p>
      <w:pPr>
        <w:ind w:left="1380" w:right="7300" w:hanging="827"/>
        <w:spacing w:after="0" w:line="272" w:lineRule="auto"/>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CUSIP No.: 04208T108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973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5835" cy="4973320"/>
                    </a:xfrm>
                    <a:prstGeom prst="rect">
                      <a:avLst/>
                    </a:prstGeom>
                    <a:noFill/>
                  </pic:spPr>
                </pic:pic>
              </a:graphicData>
            </a:graphic>
          </wp:anchor>
        </w:drawing>
      </w:r>
    </w:p>
    <w:p>
      <w:pPr>
        <w:spacing w:after="0" w:line="393" w:lineRule="exact"/>
        <w:rPr>
          <w:sz w:val="20"/>
          <w:szCs w:val="20"/>
          <w:color w:val="auto"/>
        </w:rPr>
      </w:pPr>
    </w:p>
    <w:p>
      <w:pPr>
        <w:ind w:left="1380" w:right="7200" w:hanging="776"/>
        <w:spacing w:after="0" w:line="299" w:lineRule="auto"/>
        <w:tabs>
          <w:tab w:leader="none" w:pos="1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NAME OF REPORTING PERSON Forward Select Income Fund</w:t>
      </w:r>
    </w:p>
    <w:p>
      <w:pPr>
        <w:spacing w:after="0" w:line="147"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31-1761322</w:t>
      </w:r>
    </w:p>
    <w:p>
      <w:pPr>
        <w:spacing w:after="0" w:line="123" w:lineRule="exact"/>
        <w:rPr>
          <w:sz w:val="20"/>
          <w:szCs w:val="20"/>
          <w:color w:val="auto"/>
        </w:rPr>
      </w:pPr>
    </w:p>
    <w:p>
      <w:pPr>
        <w:ind w:left="1380" w:hanging="776"/>
        <w:spacing w:after="0"/>
        <w:tabs>
          <w:tab w:leader="none" w:pos="1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6"/>
        </w:numPr>
        <w:rPr>
          <w:rFonts w:ascii="Arial" w:cs="Arial" w:eastAsia="Arial" w:hAnsi="Arial"/>
          <w:sz w:val="20"/>
          <w:szCs w:val="20"/>
          <w:color w:val="auto"/>
        </w:rPr>
      </w:pPr>
      <w:r>
        <w:rPr>
          <w:rFonts w:ascii="Arial" w:cs="Arial" w:eastAsia="Arial" w:hAnsi="Arial"/>
          <w:sz w:val="20"/>
          <w:szCs w:val="20"/>
          <w:color w:val="auto"/>
        </w:rPr>
        <w:t>[  ]</w:t>
      </w:r>
    </w:p>
    <w:p>
      <w:pPr>
        <w:ind w:left="1720" w:hanging="347"/>
        <w:spacing w:after="0"/>
        <w:tabs>
          <w:tab w:leader="none" w:pos="1720" w:val="left"/>
        </w:tabs>
        <w:numPr>
          <w:ilvl w:val="1"/>
          <w:numId w:val="6"/>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0"/>
          <w:szCs w:val="20"/>
          <w:color w:val="auto"/>
        </w:rPr>
      </w:pPr>
    </w:p>
    <w:p>
      <w:pPr>
        <w:ind w:left="1380" w:hanging="776"/>
        <w:spacing w:after="0"/>
        <w:tabs>
          <w:tab w:leader="none" w:pos="1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0"/>
          <w:szCs w:val="20"/>
          <w:color w:val="auto"/>
        </w:rPr>
      </w:pPr>
    </w:p>
    <w:p>
      <w:pPr>
        <w:ind w:left="1380" w:right="5960" w:hanging="776"/>
        <w:spacing w:after="0" w:line="272" w:lineRule="auto"/>
        <w:tabs>
          <w:tab w:leader="none" w:pos="1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898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90"/>
        </w:trPr>
        <w:tc>
          <w:tcPr>
            <w:tcW w:w="186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1,070,000</w:t>
            </w:r>
          </w:p>
        </w:tc>
        <w:tc>
          <w:tcPr>
            <w:tcW w:w="0" w:type="dxa"/>
            <w:vAlign w:val="bottom"/>
          </w:tcPr>
          <w:p>
            <w:pPr>
              <w:spacing w:after="0"/>
              <w:rPr>
                <w:sz w:val="1"/>
                <w:szCs w:val="1"/>
                <w:color w:val="auto"/>
              </w:rPr>
            </w:pPr>
          </w:p>
        </w:tc>
      </w:tr>
      <w:tr>
        <w:trPr>
          <w:trHeight w:val="171"/>
        </w:trPr>
        <w:tc>
          <w:tcPr>
            <w:tcW w:w="1860" w:type="dxa"/>
            <w:vAlign w:val="bottom"/>
            <w:tcBorders>
              <w:right w:val="single" w:sz="8" w:color="auto"/>
            </w:tcBorders>
            <w:vMerge w:val="restart"/>
          </w:tcPr>
          <w:p>
            <w:pPr>
              <w:jc w:val="center"/>
              <w:spacing w:after="0" w:line="227" w:lineRule="exact"/>
              <w:rPr>
                <w:sz w:val="20"/>
                <w:szCs w:val="20"/>
                <w:color w:val="auto"/>
              </w:rPr>
            </w:pPr>
            <w:r>
              <w:rPr>
                <w:rFonts w:ascii="Arial" w:cs="Arial" w:eastAsia="Arial" w:hAnsi="Arial"/>
                <w:sz w:val="20"/>
                <w:szCs w:val="20"/>
                <w:color w:val="auto"/>
                <w:w w:val="94"/>
              </w:rPr>
              <w:t>SHARES</w:t>
            </w:r>
          </w:p>
        </w:tc>
        <w:tc>
          <w:tcPr>
            <w:tcW w:w="680" w:type="dxa"/>
            <w:vAlign w:val="bottom"/>
            <w:tcBorders>
              <w:right w:val="single" w:sz="8" w:color="auto"/>
            </w:tcBorders>
          </w:tcPr>
          <w:p>
            <w:pPr>
              <w:spacing w:after="0"/>
              <w:rPr>
                <w:sz w:val="14"/>
                <w:szCs w:val="14"/>
                <w:color w:val="auto"/>
              </w:rPr>
            </w:pPr>
          </w:p>
        </w:tc>
        <w:tc>
          <w:tcPr>
            <w:tcW w:w="8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860" w:type="dxa"/>
            <w:vAlign w:val="bottom"/>
            <w:tcBorders>
              <w:right w:val="single" w:sz="8" w:color="auto"/>
            </w:tcBorders>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898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15"/>
        </w:trPr>
        <w:tc>
          <w:tcPr>
            <w:tcW w:w="1860" w:type="dxa"/>
            <w:vAlign w:val="bottom"/>
            <w:tcBorders>
              <w:right w:val="single" w:sz="8" w:color="auto"/>
            </w:tcBorders>
            <w:vMerge w:val="restart"/>
          </w:tcPr>
          <w:p>
            <w:pPr>
              <w:jc w:val="center"/>
              <w:spacing w:after="0" w:line="209"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8980" w:type="dxa"/>
            <w:vAlign w:val="bottom"/>
          </w:tcPr>
          <w:p>
            <w:pPr>
              <w:ind w:left="60"/>
              <w:spacing w:after="0"/>
              <w:rPr>
                <w:sz w:val="20"/>
                <w:szCs w:val="20"/>
                <w:color w:val="auto"/>
              </w:rPr>
            </w:pPr>
            <w:r>
              <w:rPr>
                <w:rFonts w:ascii="Arial" w:cs="Arial" w:eastAsia="Arial" w:hAnsi="Arial"/>
                <w:sz w:val="20"/>
                <w:szCs w:val="20"/>
                <w:color w:val="auto"/>
              </w:rPr>
              <w:t>1,070,000</w:t>
            </w:r>
          </w:p>
        </w:tc>
        <w:tc>
          <w:tcPr>
            <w:tcW w:w="0" w:type="dxa"/>
            <w:vAlign w:val="bottom"/>
          </w:tcPr>
          <w:p>
            <w:pPr>
              <w:spacing w:after="0"/>
              <w:rPr>
                <w:sz w:val="1"/>
                <w:szCs w:val="1"/>
                <w:color w:val="auto"/>
              </w:rPr>
            </w:pPr>
          </w:p>
        </w:tc>
      </w:tr>
      <w:tr>
        <w:trPr>
          <w:trHeight w:val="47"/>
        </w:trPr>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6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898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02"/>
        </w:trPr>
        <w:tc>
          <w:tcPr>
            <w:tcW w:w="18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380" w:right="2680" w:hanging="776"/>
        <w:spacing w:after="0" w:line="272" w:lineRule="auto"/>
        <w:tabs>
          <w:tab w:leader="none" w:pos="1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1,070,000</w:t>
      </w:r>
    </w:p>
    <w:p>
      <w:pPr>
        <w:spacing w:after="0" w:line="81" w:lineRule="exact"/>
        <w:rPr>
          <w:sz w:val="20"/>
          <w:szCs w:val="20"/>
          <w:color w:val="auto"/>
        </w:rPr>
      </w:pPr>
    </w:p>
    <w:p>
      <w:pPr>
        <w:ind w:left="1380" w:hanging="827"/>
        <w:spacing w:after="0"/>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80" w:right="4380" w:hanging="823"/>
        <w:spacing w:after="0" w:line="272"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(9) 5.58%</w:t>
      </w:r>
    </w:p>
    <w:p>
      <w:pPr>
        <w:spacing w:after="0" w:line="80" w:lineRule="exact"/>
        <w:rPr>
          <w:rFonts w:ascii="Arial" w:cs="Arial" w:eastAsia="Arial" w:hAnsi="Arial"/>
          <w:sz w:val="20"/>
          <w:szCs w:val="20"/>
          <w:color w:val="auto"/>
        </w:rPr>
      </w:pPr>
    </w:p>
    <w:p>
      <w:pPr>
        <w:ind w:left="1380" w:right="7300" w:hanging="827"/>
        <w:spacing w:after="0" w:line="272" w:lineRule="auto"/>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31393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1647190" cy="232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CUSIP No.: 04208T108</w:t>
      </w:r>
    </w:p>
    <w:p>
      <w:pPr>
        <w:spacing w:after="0" w:line="25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Armada Hoffler Properties, Inc.</w:t>
      </w:r>
    </w:p>
    <w:p>
      <w:pPr>
        <w:spacing w:after="0" w:line="189"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222 Central Park Avenue, Suite 2100</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Virginia Beach, VA 23462</w:t>
      </w:r>
    </w:p>
    <w:p>
      <w:pPr>
        <w:spacing w:after="0" w:line="17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Forward Management, LLC</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Forward Select Income Fund</w:t>
      </w:r>
    </w:p>
    <w:p>
      <w:pPr>
        <w:spacing w:after="0" w:line="17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101 California Street, Suite 1600</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San Francisco, CA 94111</w:t>
      </w:r>
    </w:p>
    <w:p>
      <w:pPr>
        <w:spacing w:after="0" w:line="17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Forward Management, LLC - Delaware</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Forward Select Income Fund - Delaware</w:t>
      </w:r>
    </w:p>
    <w:p>
      <w:pPr>
        <w:spacing w:after="0" w:line="17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Real Estate Investment Trust</w:t>
      </w:r>
    </w:p>
    <w:p>
      <w:pPr>
        <w:spacing w:after="0" w:line="189"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ectPr>
          <w:pgSz w:w="11900" w:h="16838" w:orient="portrait"/>
          <w:cols w:equalWidth="0" w:num="1">
            <w:col w:w="11520"/>
          </w:cols>
          <w:pgMar w:left="240" w:top="233" w:right="139" w:bottom="0" w:gutter="0" w:footer="0" w:header="0"/>
        </w:sectPr>
      </w:pPr>
    </w:p>
    <w:bookmarkStart w:id="2" w:name="page3"/>
    <w:bookmarkEnd w:id="2"/>
    <w:p>
      <w:pPr>
        <w:ind w:left="1380"/>
        <w:spacing w:after="0"/>
        <w:rPr>
          <w:sz w:val="20"/>
          <w:szCs w:val="20"/>
          <w:color w:val="auto"/>
        </w:rPr>
      </w:pPr>
      <w:r>
        <w:rPr>
          <w:rFonts w:ascii="Arial" w:cs="Arial" w:eastAsia="Arial" w:hAnsi="Arial"/>
          <w:sz w:val="20"/>
          <w:szCs w:val="20"/>
          <w:color w:val="auto"/>
        </w:rPr>
        <w:t>04208T108</w:t>
      </w:r>
    </w:p>
    <w:p>
      <w:pPr>
        <w:spacing w:after="0" w:line="187"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40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40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400" w:type="dxa"/>
            <w:vAlign w:val="bottom"/>
          </w:tcPr>
          <w:p>
            <w:pPr>
              <w:ind w:left="40"/>
              <w:spacing w:after="0"/>
              <w:rPr>
                <w:sz w:val="20"/>
                <w:szCs w:val="20"/>
                <w:color w:val="auto"/>
              </w:rPr>
            </w:pPr>
            <w:r>
              <w:rPr>
                <w:rFonts w:ascii="Arial" w:cs="Arial" w:eastAsia="Arial" w:hAnsi="Arial"/>
                <w:sz w:val="20"/>
                <w:szCs w:val="20"/>
                <w:color w:val="auto"/>
                <w:w w:val="93"/>
              </w:rPr>
              <w:t>Insurance company as defined in Section 3(a)(19) of the Act (15 U.S.C. 78c);</w:t>
            </w:r>
          </w:p>
        </w:tc>
      </w:tr>
    </w:tbl>
    <w:p>
      <w:pPr>
        <w:spacing w:after="0" w:line="21" w:lineRule="exact"/>
        <w:rPr>
          <w:sz w:val="20"/>
          <w:szCs w:val="20"/>
          <w:color w:val="auto"/>
        </w:rPr>
      </w:pPr>
    </w:p>
    <w:p>
      <w:pPr>
        <w:ind w:left="1640" w:right="2160" w:hanging="302"/>
        <w:spacing w:after="0" w:line="267" w:lineRule="auto"/>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[X] Investment company registered under Section 8 of the Investment Company Act of 1940 (15 U.S.C 80a-8);</w:t>
      </w:r>
    </w:p>
    <w:p>
      <w:pPr>
        <w:ind w:left="1640" w:hanging="302"/>
        <w:spacing w:after="0"/>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[X]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 A non-U.S. institution in accordance with 240.13d-1(b)(1)(ii)(J);</w:t>
      </w:r>
    </w:p>
    <w:p>
      <w:pPr>
        <w:spacing w:after="0" w:line="52" w:lineRule="exact"/>
        <w:rPr>
          <w:sz w:val="20"/>
          <w:szCs w:val="20"/>
          <w:color w:val="auto"/>
        </w:rPr>
      </w:pPr>
    </w:p>
    <w:p>
      <w:pPr>
        <w:ind w:left="1640" w:right="2580" w:hanging="293"/>
        <w:spacing w:after="0" w:line="299" w:lineRule="auto"/>
        <w:rPr>
          <w:sz w:val="20"/>
          <w:szCs w:val="20"/>
          <w:color w:val="auto"/>
        </w:rPr>
      </w:pPr>
      <w:r>
        <w:rPr>
          <w:rFonts w:ascii="Arial" w:cs="Arial" w:eastAsia="Arial" w:hAnsi="Arial"/>
          <w:sz w:val="19"/>
          <w:szCs w:val="19"/>
          <w:color w:val="auto"/>
        </w:rPr>
        <w:t>(k) [ ] Group, in accordance with 240.13d-1(b)(1)(ii)(K). If filing as a non-U.S. institution in accordance with 240.13d1(b)(1)(ii)(J), please specify the type of institution:</w:t>
      </w:r>
    </w:p>
    <w:p>
      <w:pPr>
        <w:spacing w:after="0" w:line="11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(a) Amount beneficially owned:</w:t>
      </w:r>
    </w:p>
    <w:p>
      <w:pPr>
        <w:spacing w:after="0" w:line="52"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1,191,900</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(b) Percent of class:</w:t>
      </w:r>
    </w:p>
    <w:p>
      <w:pPr>
        <w:spacing w:after="0" w:line="52"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6.22%</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(c) Number of shares as to which the person has:</w:t>
      </w:r>
    </w:p>
    <w:p>
      <w:pPr>
        <w:spacing w:after="0" w:line="31"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  Sole power to vote or to direct the vote:</w:t>
      </w:r>
    </w:p>
    <w:p>
      <w:pPr>
        <w:spacing w:after="0" w:line="2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Forward Management, LLC - 1,191,900</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Forward Select Income Fund - 1,070,000</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 Shared power to vote or to direct the vote:</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(iii) Sole power to dispose or to direct the disposition of:</w:t>
      </w:r>
    </w:p>
    <w:p>
      <w:pPr>
        <w:spacing w:after="0" w:line="31"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Forward Management, LLC - 1,191,900</w:t>
      </w:r>
    </w:p>
    <w:p>
      <w:pPr>
        <w:spacing w:after="0" w:line="14"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Forward Select Income Fund - 1,070,000</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(iv) Shared power to dispose or to direct the disposition of:</w:t>
      </w:r>
    </w:p>
    <w:p>
      <w:pPr>
        <w:spacing w:after="0" w:line="19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OWNERSHIP OF FIVE PERCENT OR LESS OF A CLASS:</w:t>
      </w:r>
    </w:p>
    <w:p>
      <w:pPr>
        <w:spacing w:after="0" w:line="69" w:lineRule="exact"/>
        <w:rPr>
          <w:sz w:val="20"/>
          <w:szCs w:val="20"/>
          <w:color w:val="auto"/>
        </w:rPr>
      </w:pPr>
    </w:p>
    <w:p>
      <w:pPr>
        <w:ind w:left="1380" w:right="780"/>
        <w:spacing w:after="0" w:line="272"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OWNERSHIP OF MORE THAN FIVE PERCENT ON BEHALF OF ANOTHER PERSON:</w:t>
      </w:r>
    </w:p>
    <w:p>
      <w:pPr>
        <w:spacing w:after="0" w:line="200" w:lineRule="exact"/>
        <w:rPr>
          <w:sz w:val="20"/>
          <w:szCs w:val="20"/>
          <w:color w:val="auto"/>
        </w:rPr>
      </w:pPr>
    </w:p>
    <w:p>
      <w:pPr>
        <w:spacing w:after="0" w:line="28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BEING REPORTED ON BY THE PARENT HOLDING COMPANY:</w:t>
      </w:r>
    </w:p>
    <w:p>
      <w:pPr>
        <w:spacing w:after="0" w:line="324"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00" w:lineRule="exact"/>
        <w:rPr>
          <w:sz w:val="20"/>
          <w:szCs w:val="20"/>
          <w:color w:val="auto"/>
        </w:rPr>
      </w:pPr>
    </w:p>
    <w:p>
      <w:pPr>
        <w:spacing w:after="0" w:line="28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NOTICE OF DISSOLUTION OF GROUP:</w:t>
      </w:r>
    </w:p>
    <w:p>
      <w:pPr>
        <w:spacing w:after="0" w:line="200" w:lineRule="exact"/>
        <w:rPr>
          <w:sz w:val="20"/>
          <w:szCs w:val="20"/>
          <w:color w:val="auto"/>
        </w:rPr>
      </w:pPr>
    </w:p>
    <w:p>
      <w:pPr>
        <w:spacing w:after="0" w:line="28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69" w:lineRule="exact"/>
        <w:rPr>
          <w:sz w:val="20"/>
          <w:szCs w:val="20"/>
          <w:color w:val="auto"/>
        </w:rPr>
      </w:pPr>
    </w:p>
    <w:p>
      <w:pPr>
        <w:ind w:left="1380" w:right="100"/>
        <w:spacing w:after="0" w:line="251"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SIGNATURE</w:t>
      </w:r>
    </w:p>
    <w:p>
      <w:pPr>
        <w:sectPr>
          <w:pgSz w:w="11900" w:h="16838" w:orient="portrait"/>
          <w:cols w:equalWidth="0" w:num="1">
            <w:col w:w="11460"/>
          </w:cols>
          <w:pgMar w:left="300" w:top="120" w:right="139"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2120" w:right="2320"/>
        <w:spacing w:after="0" w:line="272"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1460"/>
          </w:cols>
          <w:pgMar w:left="300" w:top="120" w:right="139" w:bottom="0" w:gutter="0" w:footer="0" w:header="0"/>
          <w:type w:val="continuous"/>
        </w:sectPr>
      </w:pPr>
    </w:p>
    <w:bookmarkStart w:id="3" w:name="page4"/>
    <w:bookmarkEnd w:id="3"/>
    <w:p>
      <w:pPr>
        <w:jc w:val="center"/>
        <w:ind w:right="-1300"/>
        <w:spacing w:after="0"/>
        <w:rPr>
          <w:sz w:val="20"/>
          <w:szCs w:val="20"/>
          <w:color w:val="auto"/>
        </w:rPr>
      </w:pPr>
      <w:r>
        <w:rPr>
          <w:rFonts w:ascii="Arial" w:cs="Arial" w:eastAsia="Arial" w:hAnsi="Arial"/>
          <w:sz w:val="20"/>
          <w:szCs w:val="20"/>
          <w:color w:val="auto"/>
        </w:rPr>
        <w:t>January 10, 2014</w:t>
      </w:r>
    </w:p>
    <w:p>
      <w:pPr>
        <w:spacing w:after="0" w:line="19"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Date</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Forward Management, LLC</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/s/ Robert S. 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Signature</w:t>
      </w:r>
    </w:p>
    <w:p>
      <w:pPr>
        <w:spacing w:after="0" w:line="19"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Robert S. Naka</w:t>
      </w:r>
    </w:p>
    <w:p>
      <w:pPr>
        <w:spacing w:after="0" w:line="1" w:lineRule="exact"/>
        <w:rPr>
          <w:sz w:val="20"/>
          <w:szCs w:val="20"/>
          <w:color w:val="auto"/>
        </w:rPr>
      </w:pPr>
    </w:p>
    <w:p>
      <w:pPr>
        <w:ind w:left="5300" w:right="3119" w:hanging="865"/>
        <w:spacing w:after="0" w:line="575" w:lineRule="auto"/>
        <w:tabs>
          <w:tab w:leader="none" w:pos="45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Director, Operations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-428625</wp:posOffset>
            </wp:positionV>
            <wp:extent cx="36849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353"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January 10, 2014</w:t>
      </w:r>
    </w:p>
    <w:p>
      <w:pPr>
        <w:spacing w:after="0" w:line="19"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Date</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Forward Select Income Fund</w:t>
      </w:r>
    </w:p>
    <w:p>
      <w:pPr>
        <w:spacing w:after="0" w:line="1"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/s/ Judith M.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Signature</w:t>
      </w:r>
    </w:p>
    <w:p>
      <w:pPr>
        <w:spacing w:after="0" w:line="19" w:lineRule="exact"/>
        <w:rPr>
          <w:sz w:val="20"/>
          <w:szCs w:val="20"/>
          <w:color w:val="auto"/>
        </w:rPr>
      </w:pPr>
    </w:p>
    <w:p>
      <w:pPr>
        <w:jc w:val="center"/>
        <w:ind w:right="-1300"/>
        <w:spacing w:after="0"/>
        <w:rPr>
          <w:sz w:val="20"/>
          <w:szCs w:val="20"/>
          <w:color w:val="auto"/>
        </w:rPr>
      </w:pPr>
      <w:r>
        <w:rPr>
          <w:rFonts w:ascii="Arial" w:cs="Arial" w:eastAsia="Arial" w:hAnsi="Arial"/>
          <w:sz w:val="20"/>
          <w:szCs w:val="20"/>
          <w:color w:val="auto"/>
        </w:rPr>
        <w:t>Judith M. Rosenberg,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CUSIP No.: 04208T108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Joint Filing Agreement Pursuant to Rule 13d-1</w:t>
      </w:r>
    </w:p>
    <w:p>
      <w:pPr>
        <w:spacing w:after="0" w:line="213" w:lineRule="exact"/>
        <w:rPr>
          <w:sz w:val="20"/>
          <w:szCs w:val="20"/>
          <w:color w:val="auto"/>
        </w:rPr>
      </w:pPr>
    </w:p>
    <w:p>
      <w:pPr>
        <w:ind w:right="1939"/>
        <w:spacing w:after="0" w:line="246" w:lineRule="auto"/>
        <w:rPr>
          <w:sz w:val="20"/>
          <w:szCs w:val="20"/>
          <w:color w:val="auto"/>
        </w:rPr>
      </w:pPr>
      <w:r>
        <w:rPr>
          <w:rFonts w:ascii="Arial" w:cs="Arial" w:eastAsia="Arial" w:hAnsi="Arial"/>
          <w:sz w:val="20"/>
          <w:szCs w:val="20"/>
          <w:color w:val="auto"/>
        </w:rPr>
        <w:t>This agreement is made pursuant to Rule 13d-l(k)(1) under the Securities and Exchange Act of 1934, as amended (the Act) by and among the parties listed below, each referenced to herein as a Joint Filer. The Joint Filers agree that a statement of beneficial ownership as</w:t>
      </w:r>
    </w:p>
    <w:p>
      <w:pPr>
        <w:spacing w:after="0" w:line="2" w:lineRule="exact"/>
        <w:rPr>
          <w:sz w:val="20"/>
          <w:szCs w:val="20"/>
          <w:color w:val="auto"/>
        </w:rPr>
      </w:pPr>
    </w:p>
    <w:p>
      <w:pPr>
        <w:ind w:right="2379"/>
        <w:spacing w:after="0" w:line="244" w:lineRule="auto"/>
        <w:rPr>
          <w:sz w:val="20"/>
          <w:szCs w:val="20"/>
          <w:color w:val="auto"/>
        </w:rPr>
      </w:pPr>
      <w:r>
        <w:rPr>
          <w:rFonts w:ascii="Arial" w:cs="Arial" w:eastAsia="Arial" w:hAnsi="Arial"/>
          <w:sz w:val="20"/>
          <w:szCs w:val="20"/>
          <w:color w:val="auto"/>
        </w:rPr>
        <w:t>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21, 2011</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Forward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By: /s/ Robert S. Naka</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Name: Robert S. Naka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 Operations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Forward Select Income Fund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By: /s/ Judith M. Rosenberg</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Name: Judith M. Rosenberg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Chief Compliance Officer</w:t>
      </w:r>
    </w:p>
    <w:sectPr>
      <w:pgSz w:w="11900" w:h="16838" w:orient="portrait"/>
      <w:cols w:equalWidth="0" w:num="1">
        <w:col w:w="10219"/>
      </w:cols>
      <w:pgMar w:left="240" w:top="4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lvl w:ilvl="1">
      <w:lvlJc w:val="left"/>
      <w:lvlText w:val="(%2)"/>
      <w:numFmt w:val="lowerLetter"/>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9"/>
      <w:numFmt w:val="bullet"/>
      <w:start w:val="1"/>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lowerLetter"/>
      <w:start w:val="4"/>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2020-01-25T17:11:04Z</dcterms:created>
  <dcterms:modified xsi:type="dcterms:W3CDTF">2020-01-25T17:11:04Z</dcterms:modified>
</cp:coreProperties>
</file>