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Armada Hoffler Properties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04208T108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04208T108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L.P.</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80" w:type="dxa"/>
            <w:vAlign w:val="bottom"/>
            <w:vMerge w:val="continue"/>
          </w:tcPr>
          <w:p>
            <w:pPr>
              <w:spacing w:after="0"/>
              <w:rPr>
                <w:sz w:val="12"/>
                <w:szCs w:val="12"/>
                <w:color w:val="auto"/>
              </w:rPr>
            </w:pPr>
          </w:p>
        </w:tc>
        <w:tc>
          <w:tcPr>
            <w:tcW w:w="1360" w:type="dxa"/>
            <w:vAlign w:val="bottom"/>
            <w:vMerge w:val="restart"/>
          </w:tcPr>
          <w:p>
            <w:pPr>
              <w:jc w:val="right"/>
              <w:ind w:right="73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8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0" w:gutter="0" w:footer="0" w:header="0"/>
        </w:sectPr>
      </w:pPr>
    </w:p>
    <w:bookmarkStart w:id="1" w:name="page2"/>
    <w:bookmarkEnd w:id="1"/>
    <w:p>
      <w:pPr>
        <w:ind w:left="2700" w:right="5579"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None</w:t>
      </w:r>
    </w:p>
    <w:p>
      <w:pPr>
        <w:spacing w:after="0" w:line="386" w:lineRule="exact"/>
        <w:rPr>
          <w:rFonts w:ascii="Arial" w:cs="Arial" w:eastAsia="Arial" w:hAnsi="Arial"/>
          <w:sz w:val="18"/>
          <w:szCs w:val="18"/>
          <w:color w:val="auto"/>
        </w:rPr>
      </w:pPr>
    </w:p>
    <w:p>
      <w:pPr>
        <w:ind w:left="1000" w:right="435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04208T108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Inc.</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503" w:right="1440"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503" w:right="1440" w:bottom="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503" w:right="1440" w:bottom="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04208T108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jc w:val="center"/>
              <w:ind w:right="1350"/>
              <w:spacing w:after="0"/>
              <w:rPr>
                <w:sz w:val="20"/>
                <w:szCs w:val="20"/>
                <w:color w:val="auto"/>
              </w:rPr>
            </w:pPr>
            <w:r>
              <w:rPr>
                <w:rFonts w:ascii="Arial" w:cs="Arial" w:eastAsia="Arial" w:hAnsi="Arial"/>
                <w:sz w:val="18"/>
                <w:szCs w:val="18"/>
                <w:color w:val="auto"/>
                <w:w w:val="94"/>
              </w:rPr>
              <w:t>STATEMENT ON SCHEDULE 13G</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46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Armada Hoffler Properties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1(b).</w:t>
            </w: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222 Central Park Ave #2100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Virginia Beach, VA 23462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2(a).</w:t>
            </w: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Names of Person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AEW Capital Management,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AEW Capital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2(b).</w:t>
            </w: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Business Mailing Address for the Person Filing:</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Two Seaport Lane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Boston, MA 02110-2021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2(c).</w:t>
            </w: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Delaware for AEW Capital Management,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Massachusetts for AEW Capital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2(d).</w:t>
            </w: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2(e).</w:t>
            </w: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04208T108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10420" w:type="dxa"/>
            <w:vAlign w:val="bottom"/>
            <w:gridSpan w:val="2"/>
          </w:tcPr>
          <w:p>
            <w:pPr>
              <w:ind w:left="200"/>
              <w:spacing w:after="0"/>
              <w:rPr>
                <w:sz w:val="20"/>
                <w:szCs w:val="20"/>
                <w:color w:val="auto"/>
              </w:rPr>
            </w:pPr>
            <w:r>
              <w:rPr>
                <w:rFonts w:ascii="Arial" w:cs="Arial" w:eastAsia="Arial" w:hAnsi="Arial"/>
                <w:sz w:val="18"/>
                <w:szCs w:val="18"/>
                <w:b w:val="1"/>
                <w:bCs w:val="1"/>
                <w:color w:val="auto"/>
              </w:rPr>
              <w:t>If this statement is filed pursuant to Rules 13d-1(b), or 13d-2(b), check whether the person filing is 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10420" w:type="dxa"/>
            <w:vAlign w:val="bottom"/>
            <w:gridSpan w:val="2"/>
          </w:tcPr>
          <w:p>
            <w:pPr>
              <w:ind w:left="2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00" w:type="dxa"/>
            <w:vAlign w:val="bottom"/>
          </w:tcPr>
          <w:p>
            <w:pPr>
              <w:spacing w:after="0"/>
              <w:rPr>
                <w:sz w:val="24"/>
                <w:szCs w:val="24"/>
                <w:color w:val="auto"/>
              </w:rPr>
            </w:pPr>
          </w:p>
        </w:tc>
        <w:tc>
          <w:tcPr>
            <w:tcW w:w="10420" w:type="dxa"/>
            <w:vAlign w:val="bottom"/>
            <w:gridSpan w:val="2"/>
          </w:tcPr>
          <w:p>
            <w:pPr>
              <w:jc w:val="right"/>
              <w:ind w:right="557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60" w:right="7740" w:hanging="394"/>
        <w:spacing w:after="0" w:line="340"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None</w:t>
      </w:r>
    </w:p>
    <w:p>
      <w:pPr>
        <w:spacing w:after="0" w:line="129" w:lineRule="exact"/>
        <w:rPr>
          <w:rFonts w:ascii="Arial" w:cs="Arial" w:eastAsia="Arial" w:hAnsi="Arial"/>
          <w:sz w:val="18"/>
          <w:szCs w:val="18"/>
          <w:color w:val="auto"/>
        </w:rPr>
      </w:pPr>
    </w:p>
    <w:p>
      <w:pPr>
        <w:ind w:left="1660" w:right="8100" w:hanging="400"/>
        <w:spacing w:after="0" w:line="340"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owned: 0%</w:t>
      </w:r>
    </w:p>
    <w:p>
      <w:pPr>
        <w:spacing w:after="0" w:line="129"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right="6320" w:hanging="453"/>
        <w:spacing w:after="0" w:line="340"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6140" w:hanging="478"/>
        <w:spacing w:after="0" w:line="340"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5420" w:hanging="503"/>
        <w:spacing w:after="0" w:line="34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None</w:t>
      </w:r>
    </w:p>
    <w:p>
      <w:pPr>
        <w:spacing w:after="0" w:line="129" w:lineRule="exact"/>
        <w:rPr>
          <w:rFonts w:ascii="Arial" w:cs="Arial" w:eastAsia="Arial" w:hAnsi="Arial"/>
          <w:sz w:val="18"/>
          <w:szCs w:val="18"/>
          <w:color w:val="auto"/>
        </w:rPr>
      </w:pPr>
    </w:p>
    <w:p>
      <w:pPr>
        <w:ind w:left="2280" w:right="5240" w:hanging="498"/>
        <w:spacing w:after="0" w:line="34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As of the date hereof the reporting person has ceased to be the beneficial owner of more than five percent of the class of securities</w:t>
      </w:r>
    </w:p>
    <w:p>
      <w:pPr>
        <w:spacing w:after="0" w:line="200" w:lineRule="exact"/>
        <w:rPr>
          <w:sz w:val="20"/>
          <w:szCs w:val="20"/>
          <w:color w:val="auto"/>
        </w:rPr>
      </w:pPr>
    </w:p>
    <w:p>
      <w:pPr>
        <w:spacing w:after="0" w:line="24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60"/>
          </w:cols>
          <w:pgMar w:left="240" w:top="125" w:right="199" w:bottom="0" w:gutter="0" w:footer="0" w:header="0"/>
        </w:sectPr>
      </w:pPr>
    </w:p>
    <w:bookmarkStart w:id="3" w:name="page4"/>
    <w:bookmarkEnd w:id="3"/>
    <w:p>
      <w:pPr>
        <w:ind w:left="1180" w:right="80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8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04, 2015</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AEW CAPITAL MANAGEMENT, L.P.</w:t>
      </w:r>
    </w:p>
    <w:p>
      <w:pPr>
        <w:spacing w:after="0" w:line="225"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8"/>
          <w:szCs w:val="18"/>
          <w:color w:val="auto"/>
        </w:rPr>
        <w:t>By:</w:t>
        <w:tab/>
        <w:t>AEW Capital Management, Inc., its</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-130810</wp:posOffset>
            </wp:positionV>
            <wp:extent cx="305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AEW CAPITAL MANAGEMENT, INC.</w:t>
      </w:r>
    </w:p>
    <w:p>
      <w:pPr>
        <w:spacing w:after="0" w:line="225"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-130810</wp:posOffset>
            </wp:positionV>
            <wp:extent cx="305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firstLine="1170"/>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Brandywine Realty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 evidence whereof, the undersigned have caused this Agreement to be executed on their behalf this 4th day of February, 2015.</w:t>
      </w:r>
    </w:p>
    <w:p>
      <w:pPr>
        <w:spacing w:after="0" w:line="2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AEW CAPITAL MANAGEMENT, L.P.</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AEW Capital Management, Inc., its</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-130810</wp:posOffset>
            </wp:positionV>
            <wp:extent cx="3053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AEW CAPITAL MANAGEMENT, INC.</w:t>
      </w:r>
    </w:p>
    <w:p>
      <w:pPr>
        <w:spacing w:after="0" w:line="225"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8"/>
          <w:szCs w:val="18"/>
          <w:color w:val="auto"/>
        </w:rPr>
        <w:t>By:</w:t>
        <w:tab/>
        <w:t>/s/ James J. Finnegan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-130810</wp:posOffset>
            </wp:positionV>
            <wp:extent cx="3053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340"/>
          </w:cols>
          <w:pgMar w:left="240" w:top="445" w:right="31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2020-01-22T12:41:26Z</dcterms:created>
  <dcterms:modified xsi:type="dcterms:W3CDTF">2020-01-22T12:41:26Z</dcterms:modified>
</cp:coreProperties>
</file>