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110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150"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1200" w:hanging="432"/>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760" w:right="2799" w:firstLine="8"/>
        <w:spacing w:after="0" w:line="257" w:lineRule="auto"/>
        <w:tabs>
          <w:tab w:leader="none" w:pos="119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Confidential, for Use of the Commission Only (as permitted by Rule 14a-6(e)(2))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Definitive Proxy Statement</w:t>
      </w:r>
    </w:p>
    <w:p>
      <w:pPr>
        <w:ind w:left="1200" w:hanging="432"/>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7" w:lineRule="exact"/>
        <w:rPr>
          <w:rFonts w:ascii="MS PGothic" w:cs="MS PGothic" w:eastAsia="MS PGothic" w:hAnsi="MS PGothic"/>
          <w:sz w:val="18"/>
          <w:szCs w:val="18"/>
          <w:color w:val="auto"/>
        </w:rPr>
      </w:pPr>
    </w:p>
    <w:p>
      <w:pPr>
        <w:ind w:left="1200" w:hanging="432"/>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AH REALTY TRUST, INC.</w:t>
      </w:r>
    </w:p>
    <w:p>
      <w:pPr>
        <w:spacing w:after="0" w:line="2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50"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7"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460" w:hanging="434"/>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943610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10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299085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3474085</wp:posOffset>
            </wp:positionH>
            <wp:positionV relativeFrom="page">
              <wp:posOffset>1186180</wp:posOffset>
            </wp:positionV>
            <wp:extent cx="600075" cy="334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000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3E474E"/>
        </w:rPr>
        <w:t>April 30, 2026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3E474E"/>
        </w:rPr>
        <w:t>Letter From Our Chairman, President and CEO</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3E474E"/>
        </w:rPr>
        <w:t>Dear Fellow Stockholders,</w:t>
      </w:r>
    </w:p>
    <w:p>
      <w:pPr>
        <w:spacing w:after="0" w:line="262"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3E474E"/>
        </w:rPr>
        <w:t>Following my first full year as CEO and recent appointment as Chairman of the Board of Directors, I want to thank you for your continued trust and confidence in AH Realty Trust.</w:t>
      </w:r>
    </w:p>
    <w:p>
      <w:pPr>
        <w:spacing w:after="0" w:line="196" w:lineRule="exact"/>
        <w:rPr>
          <w:sz w:val="20"/>
          <w:szCs w:val="20"/>
          <w:color w:val="auto"/>
        </w:rPr>
      </w:pPr>
    </w:p>
    <w:p>
      <w:pPr>
        <w:spacing w:after="0" w:line="266" w:lineRule="auto"/>
        <w:rPr>
          <w:sz w:val="20"/>
          <w:szCs w:val="20"/>
          <w:color w:val="auto"/>
        </w:rPr>
      </w:pPr>
      <w:r>
        <w:rPr>
          <w:rFonts w:ascii="Arial" w:cs="Arial" w:eastAsia="Arial" w:hAnsi="Arial"/>
          <w:sz w:val="16"/>
          <w:szCs w:val="16"/>
          <w:color w:val="3E474E"/>
        </w:rPr>
        <w:t>Over the last year, your Board and management team conducted a rigorous review of the company’s business, strategy, and capital allocation plan. Through this process, we aligned on a clear path to reposition and transform the company. We are pleased with the significant progress we have already made and are confident we are taking the right actions to drive long-term value creation for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3E474E"/>
        </w:rPr>
        <w:t>A Foundational Year</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3E474E"/>
        </w:rPr>
        <w:t>2025 was a foundational year for AH Realty Trust.</w:t>
      </w:r>
    </w:p>
    <w:p>
      <w:pPr>
        <w:spacing w:after="0" w:line="226" w:lineRule="exact"/>
        <w:rPr>
          <w:sz w:val="20"/>
          <w:szCs w:val="20"/>
          <w:color w:val="auto"/>
        </w:rPr>
      </w:pPr>
    </w:p>
    <w:p>
      <w:pPr>
        <w:ind w:right="200"/>
        <w:spacing w:after="0" w:line="210" w:lineRule="exact"/>
        <w:rPr>
          <w:sz w:val="20"/>
          <w:szCs w:val="20"/>
          <w:color w:val="auto"/>
        </w:rPr>
      </w:pPr>
      <w:r>
        <w:rPr>
          <w:rFonts w:ascii="Arial" w:cs="Arial" w:eastAsia="Arial" w:hAnsi="Arial"/>
          <w:sz w:val="16"/>
          <w:szCs w:val="16"/>
          <w:color w:val="3E474E"/>
        </w:rPr>
        <w:t>We streamlined the company’s operations, deepened market</w:t>
      </w:r>
      <w:r>
        <w:rPr>
          <w:rFonts w:ascii="MS PGothic" w:cs="MS PGothic" w:eastAsia="MS PGothic" w:hAnsi="MS PGothic"/>
          <w:sz w:val="16"/>
          <w:szCs w:val="16"/>
          <w:color w:val="3E474E"/>
        </w:rPr>
        <w:t>‑</w:t>
      </w:r>
      <w:r>
        <w:rPr>
          <w:rFonts w:ascii="Arial" w:cs="Arial" w:eastAsia="Arial" w:hAnsi="Arial"/>
          <w:sz w:val="16"/>
          <w:szCs w:val="16"/>
          <w:color w:val="3E474E"/>
        </w:rPr>
        <w:t>specific expertise, and strengthened execution across our operating markets. At the same time, broader macroeconomic market developments have reinforced the stability and resilience of our retail and office portfolio. At year-end, our stabilized retail and office portfolios were 94.9% and 96.4% occupied, respectively.</w:t>
      </w:r>
    </w:p>
    <w:p>
      <w:pPr>
        <w:spacing w:after="0" w:line="23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3E474E"/>
        </w:rPr>
        <w:t>In 2025, we also increased our focus on balance sheet strength and disciplined capital allocation. The Board modified our dividend structure to align with stabilized, recurring cash flows and support long-term resiliency for the benefit of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3E474E"/>
        </w:rPr>
        <w:t>Strategic Transformation</w:t>
      </w:r>
    </w:p>
    <w:p>
      <w:pPr>
        <w:spacing w:after="0" w:line="302" w:lineRule="exact"/>
        <w:rPr>
          <w:sz w:val="20"/>
          <w:szCs w:val="20"/>
          <w:color w:val="auto"/>
        </w:rPr>
      </w:pPr>
    </w:p>
    <w:p>
      <w:pPr>
        <w:spacing w:after="0" w:line="202" w:lineRule="exact"/>
        <w:rPr>
          <w:sz w:val="20"/>
          <w:szCs w:val="20"/>
          <w:color w:val="auto"/>
        </w:rPr>
      </w:pPr>
      <w:r>
        <w:rPr>
          <w:rFonts w:ascii="Arial" w:cs="Arial" w:eastAsia="Arial" w:hAnsi="Arial"/>
          <w:sz w:val="16"/>
          <w:szCs w:val="16"/>
          <w:color w:val="3E474E"/>
        </w:rPr>
        <w:t>In February 2026, we publicly outlined the comprehensive transformation and corporate rebranding of AH Realty Trust, fundamentally resetting the company and defining our long</w:t>
      </w:r>
      <w:r>
        <w:rPr>
          <w:rFonts w:ascii="MS PGothic" w:cs="MS PGothic" w:eastAsia="MS PGothic" w:hAnsi="MS PGothic"/>
          <w:sz w:val="16"/>
          <w:szCs w:val="16"/>
          <w:color w:val="3E474E"/>
        </w:rPr>
        <w:t>‑</w:t>
      </w:r>
      <w:r>
        <w:rPr>
          <w:rFonts w:ascii="Arial" w:cs="Arial" w:eastAsia="Arial" w:hAnsi="Arial"/>
          <w:sz w:val="16"/>
          <w:szCs w:val="16"/>
          <w:color w:val="3E474E"/>
        </w:rPr>
        <w:t>term strategic priorities. We highlighted a few important priorities, including simplifying the company’s operating model, exiting non-core businesses, reducing leverage, and strengthening the balance sheet.</w:t>
      </w:r>
    </w:p>
    <w:p>
      <w:pPr>
        <w:spacing w:after="0" w:line="219" w:lineRule="exact"/>
        <w:rPr>
          <w:sz w:val="20"/>
          <w:szCs w:val="20"/>
          <w:color w:val="auto"/>
        </w:rPr>
      </w:pPr>
    </w:p>
    <w:p>
      <w:pPr>
        <w:ind w:right="320"/>
        <w:spacing w:after="0" w:line="202" w:lineRule="exact"/>
        <w:rPr>
          <w:sz w:val="20"/>
          <w:szCs w:val="20"/>
          <w:color w:val="auto"/>
        </w:rPr>
      </w:pPr>
      <w:r>
        <w:rPr>
          <w:rFonts w:ascii="Arial" w:cs="Arial" w:eastAsia="Arial" w:hAnsi="Arial"/>
          <w:sz w:val="16"/>
          <w:szCs w:val="16"/>
          <w:color w:val="3E474E"/>
        </w:rPr>
        <w:t>With a clear path forward, we are taking decisive actions to create a leaner and more agile REIT positioned for success. We are sharpening our focused retail and office portfolios, consistent with our intent to own and operate high</w:t>
      </w:r>
      <w:r>
        <w:rPr>
          <w:rFonts w:ascii="MS PGothic" w:cs="MS PGothic" w:eastAsia="MS PGothic" w:hAnsi="MS PGothic"/>
          <w:sz w:val="16"/>
          <w:szCs w:val="16"/>
          <w:color w:val="3E474E"/>
        </w:rPr>
        <w:t>‑</w:t>
      </w:r>
      <w:r>
        <w:rPr>
          <w:rFonts w:ascii="Arial" w:cs="Arial" w:eastAsia="Arial" w:hAnsi="Arial"/>
          <w:sz w:val="16"/>
          <w:szCs w:val="16"/>
          <w:color w:val="3E474E"/>
        </w:rPr>
        <w:t>quality assets in growth markets where we believe we can create durable competitive advantage.</w:t>
      </w:r>
    </w:p>
    <w:p>
      <w:pPr>
        <w:spacing w:after="0" w:line="219"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3E474E"/>
        </w:rPr>
        <w:t>We have made significant progress, including taking steps to exit the multifamily property sector and divesting our fee-based construction and real estate financing businesses. Since announcing the restructuring in early 2026, we have:</w:t>
      </w:r>
    </w:p>
    <w:p>
      <w:pPr>
        <w:spacing w:after="0" w:line="1" w:lineRule="exact"/>
        <w:rPr>
          <w:sz w:val="20"/>
          <w:szCs w:val="20"/>
          <w:color w:val="auto"/>
        </w:rPr>
      </w:pPr>
    </w:p>
    <w:p>
      <w:pPr>
        <w:ind w:left="600" w:hanging="268"/>
        <w:spacing w:after="0"/>
        <w:tabs>
          <w:tab w:leader="none" w:pos="600" w:val="left"/>
        </w:tabs>
        <w:numPr>
          <w:ilvl w:val="0"/>
          <w:numId w:val="4"/>
        </w:numPr>
        <w:rPr>
          <w:rFonts w:ascii="Arial" w:cs="Arial" w:eastAsia="Arial" w:hAnsi="Arial"/>
          <w:sz w:val="16"/>
          <w:szCs w:val="16"/>
          <w:color w:val="3E474E"/>
        </w:rPr>
      </w:pPr>
      <w:r>
        <w:rPr>
          <w:rFonts w:ascii="Arial" w:cs="Arial" w:eastAsia="Arial" w:hAnsi="Arial"/>
          <w:sz w:val="16"/>
          <w:szCs w:val="16"/>
          <w:color w:val="3E474E"/>
        </w:rPr>
        <w:t>Entered an agreement to sell 11 of the 14 multifamily assets to Harbor Group International;</w:t>
      </w:r>
    </w:p>
    <w:p>
      <w:pPr>
        <w:spacing w:after="0" w:line="5" w:lineRule="exact"/>
        <w:rPr>
          <w:rFonts w:ascii="Arial" w:cs="Arial" w:eastAsia="Arial" w:hAnsi="Arial"/>
          <w:sz w:val="16"/>
          <w:szCs w:val="16"/>
          <w:color w:val="3E474E"/>
        </w:rPr>
      </w:pPr>
    </w:p>
    <w:p>
      <w:pPr>
        <w:ind w:left="600" w:hanging="268"/>
        <w:spacing w:after="0"/>
        <w:tabs>
          <w:tab w:leader="none" w:pos="600" w:val="left"/>
        </w:tabs>
        <w:numPr>
          <w:ilvl w:val="0"/>
          <w:numId w:val="4"/>
        </w:numPr>
        <w:rPr>
          <w:rFonts w:ascii="Arial" w:cs="Arial" w:eastAsia="Arial" w:hAnsi="Arial"/>
          <w:sz w:val="16"/>
          <w:szCs w:val="16"/>
          <w:color w:val="3E474E"/>
        </w:rPr>
      </w:pPr>
      <w:r>
        <w:rPr>
          <w:rFonts w:ascii="Arial" w:cs="Arial" w:eastAsia="Arial" w:hAnsi="Arial"/>
          <w:sz w:val="16"/>
          <w:szCs w:val="16"/>
          <w:color w:val="3E474E"/>
        </w:rPr>
        <w:t>Completed the sale of two multifamily notes previously held within our real estate financing platform; and</w:t>
      </w:r>
    </w:p>
    <w:p>
      <w:pPr>
        <w:spacing w:after="0" w:line="14" w:lineRule="exact"/>
        <w:rPr>
          <w:rFonts w:ascii="Arial" w:cs="Arial" w:eastAsia="Arial" w:hAnsi="Arial"/>
          <w:sz w:val="16"/>
          <w:szCs w:val="16"/>
          <w:color w:val="3E474E"/>
        </w:rPr>
      </w:pPr>
    </w:p>
    <w:p>
      <w:pPr>
        <w:ind w:left="600" w:hanging="268"/>
        <w:spacing w:after="0"/>
        <w:tabs>
          <w:tab w:leader="none" w:pos="600" w:val="left"/>
        </w:tabs>
        <w:numPr>
          <w:ilvl w:val="0"/>
          <w:numId w:val="4"/>
        </w:numPr>
        <w:rPr>
          <w:rFonts w:ascii="Arial" w:cs="Arial" w:eastAsia="Arial" w:hAnsi="Arial"/>
          <w:sz w:val="16"/>
          <w:szCs w:val="16"/>
          <w:color w:val="3E474E"/>
        </w:rPr>
      </w:pPr>
      <w:r>
        <w:rPr>
          <w:rFonts w:ascii="Arial" w:cs="Arial" w:eastAsia="Arial" w:hAnsi="Arial"/>
          <w:sz w:val="16"/>
          <w:szCs w:val="16"/>
          <w:color w:val="3E474E"/>
        </w:rPr>
        <w:t>Entered an agreement to sell the construction business.</w:t>
      </w:r>
    </w:p>
    <w:p>
      <w:pPr>
        <w:spacing w:after="0" w:line="236" w:lineRule="exact"/>
        <w:rPr>
          <w:sz w:val="20"/>
          <w:szCs w:val="20"/>
          <w:color w:val="auto"/>
        </w:rPr>
      </w:pPr>
    </w:p>
    <w:p>
      <w:pPr>
        <w:spacing w:after="0" w:line="275" w:lineRule="auto"/>
        <w:rPr>
          <w:sz w:val="20"/>
          <w:szCs w:val="20"/>
          <w:color w:val="auto"/>
        </w:rPr>
      </w:pPr>
      <w:r>
        <w:rPr>
          <w:rFonts w:ascii="Arial" w:cs="Arial" w:eastAsia="Arial" w:hAnsi="Arial"/>
          <w:sz w:val="16"/>
          <w:szCs w:val="16"/>
          <w:color w:val="3E474E"/>
        </w:rPr>
        <w:t>2026 represents a transition year for AH Realty Trust. The Board and management team are confident that this transformation will position the company with lower leverage and greater operational flexibility to capitalize on opportunities across market cycles while generating consistent cash flows, disciplined growth, and superior risk-adjusted returns.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3E474E"/>
        </w:rPr>
        <w:t>Executive Leadership Team Built for the Next Chapter</w:t>
      </w:r>
    </w:p>
    <w:p>
      <w:pPr>
        <w:spacing w:after="0" w:line="316" w:lineRule="exact"/>
        <w:rPr>
          <w:sz w:val="20"/>
          <w:szCs w:val="20"/>
          <w:color w:val="auto"/>
        </w:rPr>
      </w:pPr>
    </w:p>
    <w:p>
      <w:pPr>
        <w:ind w:right="160"/>
        <w:spacing w:after="0" w:line="199" w:lineRule="exact"/>
        <w:rPr>
          <w:sz w:val="20"/>
          <w:szCs w:val="20"/>
          <w:color w:val="auto"/>
        </w:rPr>
      </w:pPr>
      <w:r>
        <w:rPr>
          <w:rFonts w:ascii="Arial" w:cs="Arial" w:eastAsia="Arial" w:hAnsi="Arial"/>
          <w:sz w:val="16"/>
          <w:szCs w:val="16"/>
          <w:color w:val="3E474E"/>
        </w:rPr>
        <w:t>We successfully completed the leadership succession initiated in 2024 with my appointment as CEO at the beginning of 2025. As part of our transition, we are rebuilding with the right people, focus, and operating discipline. We have unified our leadership structure and expanded the executive team with cross</w:t>
      </w:r>
      <w:r>
        <w:rPr>
          <w:rFonts w:ascii="MS PGothic" w:cs="MS PGothic" w:eastAsia="MS PGothic" w:hAnsi="MS PGothic"/>
          <w:sz w:val="16"/>
          <w:szCs w:val="16"/>
          <w:color w:val="3E474E"/>
        </w:rPr>
        <w:t>‑</w:t>
      </w:r>
      <w:r>
        <w:rPr>
          <w:rFonts w:ascii="Arial" w:cs="Arial" w:eastAsia="Arial" w:hAnsi="Arial"/>
          <w:sz w:val="16"/>
          <w:szCs w:val="16"/>
          <w:color w:val="3E474E"/>
        </w:rPr>
        <w:t>industry expertise spanning finance, operations, logistics, and infrastructure. In parallel, we have redistributed operating responsibilities to enhance accountability, agility, and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3E474E"/>
        </w:rPr>
        <w:t>A Board Aligned with Strategic Transformation</w:t>
      </w:r>
    </w:p>
    <w:p>
      <w:pPr>
        <w:spacing w:after="0" w:line="30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3E474E"/>
        </w:rPr>
        <w:t>Our highly engaged Board of Directors is comprised of industry leaders who bring a distinct combination of skills and expertise deliberately aligned with AH Realty Trust’s new long-term strategy, including real estate and construction, capital markets, and cybersecurity. As part of our ongoing Board refreshment process, we are pleased to nominate Lori Wittman and Theodore Bigman to stand for election at the 2026 Annual Meeting. Ms. Wittman and Mr. Bigman are experienced executives with deep real estate, capital markets, and capital allocation expertise that will bolster the Board’s oversight of the company’s competitive positioning and ongoing transformation.</w:t>
      </w:r>
    </w:p>
    <w:p>
      <w:pPr>
        <w:spacing w:after="0" w:line="199" w:lineRule="exact"/>
        <w:rPr>
          <w:sz w:val="20"/>
          <w:szCs w:val="20"/>
          <w:color w:val="auto"/>
        </w:rPr>
      </w:pPr>
    </w:p>
    <w:p>
      <w:pPr>
        <w:spacing w:after="0" w:line="304" w:lineRule="auto"/>
        <w:rPr>
          <w:sz w:val="20"/>
          <w:szCs w:val="20"/>
          <w:color w:val="auto"/>
        </w:rPr>
      </w:pPr>
      <w:r>
        <w:rPr>
          <w:rFonts w:ascii="Arial" w:cs="Arial" w:eastAsia="Arial" w:hAnsi="Arial"/>
          <w:sz w:val="16"/>
          <w:szCs w:val="16"/>
          <w:color w:val="3E474E"/>
        </w:rPr>
        <w:t>We would also like to acknowledge the service of Dennis Gartman and George Allen who will not stand for reelection to the Board at the Annual Meeting. We thank Mr. Gartman and Mr. Allen, who have played important roles in our evolution, and we wish them the best in their next chapters.</w:t>
      </w:r>
    </w:p>
    <w:p>
      <w:pPr>
        <w:spacing w:after="0" w:line="16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3E474E"/>
        </w:rPr>
        <w:t>We are confident that our Board provides effective oversight of the execution of our strategy. To further reinforce our governance framework, this past year we elected a new Lead Independent Director, James Carroll. James coordinates closely with me and the Board’s other independent directors to hold management accountable and ensure we are successfully advancing our strategy to position AH Realty Trust for long-term growth.</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3E474E"/>
        </w:rPr>
        <w:t>We Ask for Your Support</w:t>
      </w:r>
    </w:p>
    <w:p>
      <w:pPr>
        <w:spacing w:after="0" w:line="31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3E474E"/>
        </w:rPr>
        <w:t>On behalf of the entire Board and management, thank you for your continued support and investment. With our clear strategy and strong leadership, we are confident in our ability to successfully complete the transformation and deliver on AH Realty Trust’s full potential in its next chapter of growth.</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3E474E"/>
        </w:rPr>
        <w:t>Your vote is very important to us. We encourage you to read our Proxy Statement in its entirety, and we ask that you support our recommendations.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1354455"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44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Shawn J. Tibbetts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6A737B"/>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1510030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82"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Notice of Annual Meeting of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3E474E"/>
        </w:rPr>
        <w:t>NOTICE IS HEREBY GIVEN for the 2026 Annual Meeting of Stockholders (the “Annual Meeting”) of AH Realty Trust,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192405</wp:posOffset>
            </wp:positionV>
            <wp:extent cx="8890" cy="1800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80022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22"/>
          <w:szCs w:val="22"/>
          <w:color w:val="002B49"/>
        </w:rPr>
        <w:t>Annual Meeting</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E474E"/>
        </w:rPr>
        <w:t xml:space="preserve">Date: </w:t>
      </w:r>
      <w:r>
        <w:rPr>
          <w:rFonts w:ascii="Arial" w:cs="Arial" w:eastAsia="Arial" w:hAnsi="Arial"/>
          <w:sz w:val="16"/>
          <w:szCs w:val="16"/>
          <w:color w:val="3E474E"/>
        </w:rPr>
        <w:t>Wednesday, June 17, 2026</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E474E"/>
        </w:rPr>
        <w:t xml:space="preserve">Time: </w:t>
      </w:r>
      <w:r>
        <w:rPr>
          <w:rFonts w:ascii="Arial" w:cs="Arial" w:eastAsia="Arial" w:hAnsi="Arial"/>
          <w:sz w:val="16"/>
          <w:szCs w:val="16"/>
          <w:color w:val="3E474E"/>
        </w:rPr>
        <w:t>9:00 a.m. Eastern Time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00764D"/>
        </w:rPr>
        <w:t>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257810</wp:posOffset>
            </wp:positionV>
            <wp:extent cx="419735"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9735" cy="386080"/>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257810</wp:posOffset>
            </wp:positionV>
            <wp:extent cx="41148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480" cy="38608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300355</wp:posOffset>
            </wp:positionV>
            <wp:extent cx="51435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 cy="342900"/>
                    </a:xfrm>
                    <a:prstGeom prst="rect">
                      <a:avLst/>
                    </a:prstGeom>
                    <a:noFill/>
                  </pic:spPr>
                </pic:pic>
              </a:graphicData>
            </a:graphic>
          </wp:anchor>
        </w:drawing>
      </w:r>
    </w:p>
    <w:p>
      <w:pPr>
        <w:spacing w:after="0" w:line="864" w:lineRule="exact"/>
        <w:rPr>
          <w:sz w:val="20"/>
          <w:szCs w:val="20"/>
          <w:color w:val="auto"/>
        </w:rPr>
      </w:pPr>
    </w:p>
    <w:p>
      <w:pPr>
        <w:sectPr>
          <w:pgSz w:w="11900" w:h="16838" w:orient="portrait"/>
          <w:cols w:equalWidth="0" w:num="2">
            <w:col w:w="3000" w:space="720"/>
            <w:col w:w="7440"/>
          </w:cols>
          <w:pgMar w:left="320" w:top="1440" w:right="419" w:bottom="1440" w:gutter="0" w:footer="0" w:header="0"/>
          <w:type w:val="continuous"/>
        </w:sectPr>
      </w:pPr>
    </w:p>
    <w:p>
      <w:pPr>
        <w:ind w:left="20"/>
        <w:spacing w:after="0" w:line="286" w:lineRule="auto"/>
        <w:rPr>
          <w:sz w:val="20"/>
          <w:szCs w:val="20"/>
          <w:color w:val="auto"/>
        </w:rPr>
      </w:pPr>
      <w:r>
        <w:rPr>
          <w:rFonts w:ascii="Arial" w:cs="Arial" w:eastAsia="Arial" w:hAnsi="Arial"/>
          <w:sz w:val="16"/>
          <w:szCs w:val="16"/>
          <w:b w:val="1"/>
          <w:bCs w:val="1"/>
          <w:color w:val="3E474E"/>
        </w:rPr>
        <w:t xml:space="preserve">Location: </w:t>
      </w:r>
      <w:r>
        <w:rPr>
          <w:rFonts w:ascii="Arial" w:cs="Arial" w:eastAsia="Arial" w:hAnsi="Arial"/>
          <w:sz w:val="16"/>
          <w:szCs w:val="16"/>
          <w:color w:val="3E474E"/>
        </w:rPr>
        <w:t>Virtual meeting at</w:t>
      </w:r>
      <w:r>
        <w:rPr>
          <w:rFonts w:ascii="Arial" w:cs="Arial" w:eastAsia="Arial" w:hAnsi="Arial"/>
          <w:sz w:val="16"/>
          <w:szCs w:val="16"/>
          <w:b w:val="1"/>
          <w:bCs w:val="1"/>
          <w:color w:val="3E474E"/>
        </w:rPr>
        <w:t xml:space="preserve"> </w:t>
      </w:r>
      <w:r>
        <w:rPr>
          <w:rFonts w:ascii="Arial" w:cs="Arial" w:eastAsia="Arial" w:hAnsi="Arial"/>
          <w:sz w:val="16"/>
          <w:szCs w:val="16"/>
          <w:color w:val="3E474E"/>
        </w:rPr>
        <w:t>www.virtualshareholdermeeting.com/AHRT2026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E474E"/>
        </w:rPr>
        <w:t xml:space="preserve">Record Date: </w:t>
      </w:r>
      <w:r>
        <w:rPr>
          <w:rFonts w:ascii="Arial" w:cs="Arial" w:eastAsia="Arial" w:hAnsi="Arial"/>
          <w:sz w:val="16"/>
          <w:szCs w:val="16"/>
          <w:color w:val="3E474E"/>
        </w:rPr>
        <w:t>April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3E474E"/>
        </w:rPr>
        <w:t>The purposes of the meeting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25717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3E474E"/>
        </w:rPr>
        <w:t>By Internet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3E474E"/>
        </w:rPr>
        <w:t xml:space="preserve">Log on to </w:t>
      </w:r>
      <w:r>
        <w:rPr>
          <w:rFonts w:ascii="Arial" w:cs="Arial" w:eastAsia="Arial" w:hAnsi="Arial"/>
          <w:sz w:val="16"/>
          <w:szCs w:val="16"/>
          <w:b w:val="1"/>
          <w:bCs w:val="1"/>
          <w:color w:val="3E474E"/>
        </w:rPr>
        <w:t>www.proxyvote.com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3E474E"/>
        </w:rPr>
        <w:t>and follow the on-screen</w:t>
      </w:r>
    </w:p>
    <w:p>
      <w:pPr>
        <w:spacing w:after="0" w:line="15"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color w:val="3E474E"/>
        </w:rPr>
        <w:t>instructions. You will be prompted to enter certain information that can be found on your proxy card.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3E474E"/>
        </w:rPr>
        <w:t>By Telephone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3E474E"/>
        </w:rPr>
        <w:t xml:space="preserve">Call toll-free </w:t>
      </w:r>
      <w:r>
        <w:rPr>
          <w:rFonts w:ascii="Arial" w:cs="Arial" w:eastAsia="Arial" w:hAnsi="Arial"/>
          <w:sz w:val="16"/>
          <w:szCs w:val="16"/>
          <w:b w:val="1"/>
          <w:bCs w:val="1"/>
          <w:color w:val="3E474E"/>
        </w:rPr>
        <w:t>1.800.690.6903</w:t>
      </w:r>
      <w:r>
        <w:rPr>
          <w:rFonts w:ascii="Arial" w:cs="Arial" w:eastAsia="Arial" w:hAnsi="Arial"/>
          <w:sz w:val="16"/>
          <w:szCs w:val="16"/>
          <w:color w:val="3E474E"/>
        </w:rPr>
        <w:t xml:space="preserve"> and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3E474E"/>
        </w:rPr>
        <w:t>follow the instructions.</w:t>
      </w:r>
    </w:p>
    <w:p>
      <w:pPr>
        <w:spacing w:after="0" w:line="5" w:lineRule="exact"/>
        <w:rPr>
          <w:sz w:val="20"/>
          <w:szCs w:val="20"/>
          <w:color w:val="auto"/>
        </w:rPr>
      </w:pPr>
    </w:p>
    <w:p>
      <w:pPr>
        <w:jc w:val="center"/>
        <w:ind w:left="20"/>
        <w:spacing w:after="0" w:line="264" w:lineRule="auto"/>
        <w:rPr>
          <w:sz w:val="20"/>
          <w:szCs w:val="20"/>
          <w:color w:val="auto"/>
        </w:rPr>
      </w:pPr>
      <w:r>
        <w:rPr>
          <w:rFonts w:ascii="Arial" w:cs="Arial" w:eastAsia="Arial" w:hAnsi="Arial"/>
          <w:sz w:val="16"/>
          <w:szCs w:val="16"/>
          <w:color w:val="3E474E"/>
        </w:rPr>
        <w:t>You will be prompted for certain information that can be found on your proxy card.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3E474E"/>
        </w:rPr>
        <w:t>By Mail</w:t>
      </w:r>
    </w:p>
    <w:p>
      <w:pPr>
        <w:spacing w:after="0" w:line="140" w:lineRule="exact"/>
        <w:rPr>
          <w:sz w:val="20"/>
          <w:szCs w:val="20"/>
          <w:color w:val="auto"/>
        </w:rPr>
      </w:pPr>
    </w:p>
    <w:p>
      <w:pPr>
        <w:jc w:val="center"/>
        <w:ind w:right="40"/>
        <w:spacing w:after="0" w:line="268" w:lineRule="auto"/>
        <w:rPr>
          <w:sz w:val="20"/>
          <w:szCs w:val="20"/>
          <w:color w:val="auto"/>
        </w:rPr>
      </w:pPr>
      <w:r>
        <w:rPr>
          <w:rFonts w:ascii="Arial" w:cs="Arial" w:eastAsia="Arial" w:hAnsi="Arial"/>
          <w:sz w:val="16"/>
          <w:szCs w:val="16"/>
          <w:color w:val="3E474E"/>
        </w:rPr>
        <w:t>Mark, sign, and date your proxy card and return it in the postage-paid envelope we have provided.</w:t>
      </w:r>
    </w:p>
    <w:p>
      <w:pPr>
        <w:spacing w:after="0" w:line="1252" w:lineRule="exact"/>
        <w:rPr>
          <w:sz w:val="20"/>
          <w:szCs w:val="20"/>
          <w:color w:val="auto"/>
        </w:rPr>
      </w:pPr>
    </w:p>
    <w:p>
      <w:pPr>
        <w:sectPr>
          <w:pgSz w:w="11900" w:h="16838" w:orient="portrait"/>
          <w:cols w:equalWidth="0" w:num="4">
            <w:col w:w="3480" w:space="260"/>
            <w:col w:w="2400" w:space="140"/>
            <w:col w:w="2360" w:space="140"/>
            <w:col w:w="2380"/>
          </w:cols>
          <w:pgMar w:left="320" w:top="1440" w:right="419" w:bottom="1440" w:gutter="0" w:footer="0" w:header="0"/>
          <w:type w:val="continuous"/>
        </w:sectPr>
      </w:pP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color w:val="3E474E"/>
        </w:rPr>
        <w:t>To elect the nine director nominees named in the Proxy Statement to serve as directors for one-year terms until the 2027 annual meeting of</w:t>
      </w:r>
    </w:p>
    <w:p>
      <w:pPr>
        <w:ind w:left="520" w:hanging="359"/>
        <w:spacing w:after="0" w:line="181" w:lineRule="auto"/>
        <w:tabs>
          <w:tab w:leader="none" w:pos="520" w:val="left"/>
        </w:tabs>
        <w:numPr>
          <w:ilvl w:val="0"/>
          <w:numId w:val="5"/>
        </w:numPr>
        <w:rPr>
          <w:rFonts w:ascii="Arial" w:cs="Arial" w:eastAsia="Arial" w:hAnsi="Arial"/>
          <w:sz w:val="34"/>
          <w:szCs w:val="34"/>
          <w:b w:val="1"/>
          <w:bCs w:val="1"/>
          <w:color w:val="FFFFFF"/>
          <w:vertAlign w:val="superscript"/>
        </w:rPr>
      </w:pPr>
      <w:r>
        <w:rPr>
          <w:rFonts w:ascii="Arial" w:cs="Arial" w:eastAsia="Arial" w:hAnsi="Arial"/>
          <w:sz w:val="16"/>
          <w:szCs w:val="16"/>
          <w:color w:val="3E474E"/>
        </w:rPr>
        <w:t>stockholders and until their successors are duly elected and qualify;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25717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 cy="154305"/>
                    </a:xfrm>
                    <a:prstGeom prst="rect">
                      <a:avLst/>
                    </a:prstGeom>
                    <a:noFill/>
                  </pic:spPr>
                </pic:pic>
              </a:graphicData>
            </a:graphic>
          </wp:anchor>
        </w:drawing>
      </w:r>
    </w:p>
    <w:p>
      <w:pPr>
        <w:spacing w:after="0" w:line="131" w:lineRule="exact"/>
        <w:rPr>
          <w:sz w:val="20"/>
          <w:szCs w:val="20"/>
          <w:color w:val="auto"/>
        </w:rPr>
      </w:pPr>
    </w:p>
    <w:p>
      <w:pPr>
        <w:ind w:left="520" w:hanging="359"/>
        <w:spacing w:after="0"/>
        <w:tabs>
          <w:tab w:leader="none" w:pos="520" w:val="left"/>
        </w:tabs>
        <w:numPr>
          <w:ilvl w:val="0"/>
          <w:numId w:val="6"/>
        </w:numPr>
        <w:rPr>
          <w:rFonts w:ascii="Arial" w:cs="Arial" w:eastAsia="Arial" w:hAnsi="Arial"/>
          <w:sz w:val="18"/>
          <w:szCs w:val="18"/>
          <w:b w:val="1"/>
          <w:bCs w:val="1"/>
          <w:color w:val="FFFFFF"/>
        </w:rPr>
      </w:pPr>
      <w:r>
        <w:rPr>
          <w:rFonts w:ascii="Arial" w:cs="Arial" w:eastAsia="Arial" w:hAnsi="Arial"/>
          <w:sz w:val="16"/>
          <w:szCs w:val="16"/>
          <w:color w:val="3E474E"/>
        </w:rPr>
        <w:t>To ratify the appointment of KPMG LLP as our independent registered public accounting firm for our fiscal year ending December 31, 2026;</w:t>
      </w:r>
    </w:p>
    <w:p>
      <w:pPr>
        <w:spacing w:after="0" w:line="144" w:lineRule="exact"/>
        <w:rPr>
          <w:sz w:val="20"/>
          <w:szCs w:val="20"/>
          <w:color w:val="auto"/>
        </w:rPr>
      </w:pPr>
    </w:p>
    <w:p>
      <w:pPr>
        <w:ind w:left="520" w:hanging="359"/>
        <w:spacing w:after="0"/>
        <w:tabs>
          <w:tab w:leader="none" w:pos="520" w:val="left"/>
        </w:tabs>
        <w:numPr>
          <w:ilvl w:val="0"/>
          <w:numId w:val="7"/>
        </w:numPr>
        <w:rPr>
          <w:rFonts w:ascii="Arial" w:cs="Arial" w:eastAsia="Arial" w:hAnsi="Arial"/>
          <w:sz w:val="18"/>
          <w:szCs w:val="18"/>
          <w:b w:val="1"/>
          <w:bCs w:val="1"/>
          <w:color w:val="FFFFFF"/>
        </w:rPr>
      </w:pPr>
      <w:r>
        <w:rPr>
          <w:rFonts w:ascii="Arial" w:cs="Arial" w:eastAsia="Arial" w:hAnsi="Arial"/>
          <w:sz w:val="16"/>
          <w:szCs w:val="16"/>
          <w:color w:val="3E474E"/>
        </w:rPr>
        <w:t>To approve, in a non-binding, advisory vote,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25717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 cy="154305"/>
                    </a:xfrm>
                    <a:prstGeom prst="rect">
                      <a:avLst/>
                    </a:prstGeom>
                    <a:noFill/>
                  </pic:spPr>
                </pic:pic>
              </a:graphicData>
            </a:graphic>
          </wp:anchor>
        </w:drawing>
      </w:r>
    </w:p>
    <w:p>
      <w:pPr>
        <w:spacing w:after="0" w:line="124" w:lineRule="exact"/>
        <w:rPr>
          <w:sz w:val="20"/>
          <w:szCs w:val="20"/>
          <w:color w:val="auto"/>
        </w:rPr>
      </w:pPr>
    </w:p>
    <w:p>
      <w:pPr>
        <w:ind w:left="520" w:hanging="359"/>
        <w:spacing w:after="0"/>
        <w:tabs>
          <w:tab w:leader="none" w:pos="520" w:val="left"/>
        </w:tabs>
        <w:numPr>
          <w:ilvl w:val="0"/>
          <w:numId w:val="8"/>
        </w:numPr>
        <w:rPr>
          <w:rFonts w:ascii="Arial" w:cs="Arial" w:eastAsia="Arial" w:hAnsi="Arial"/>
          <w:sz w:val="18"/>
          <w:szCs w:val="18"/>
          <w:b w:val="1"/>
          <w:bCs w:val="1"/>
          <w:color w:val="FFFFFF"/>
        </w:rPr>
      </w:pPr>
      <w:r>
        <w:rPr>
          <w:rFonts w:ascii="Arial" w:cs="Arial" w:eastAsia="Arial" w:hAnsi="Arial"/>
          <w:sz w:val="16"/>
          <w:szCs w:val="16"/>
          <w:color w:val="3E474E"/>
        </w:rPr>
        <w:t>To transact such other business as may properly come before the Annual Meeting or any adjournment(s) or postponement(s)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25717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 cy="154305"/>
                    </a:xfrm>
                    <a:prstGeom prst="rect">
                      <a:avLst/>
                    </a:prstGeom>
                    <a:noFill/>
                  </pic:spPr>
                </pic:pic>
              </a:graphicData>
            </a:graphic>
          </wp:anchor>
        </w:drawing>
      </w:r>
    </w:p>
    <w:p>
      <w:pPr>
        <w:spacing w:after="0" w:line="313" w:lineRule="exact"/>
        <w:rPr>
          <w:sz w:val="20"/>
          <w:szCs w:val="20"/>
          <w:color w:val="auto"/>
        </w:rPr>
      </w:pPr>
    </w:p>
    <w:p>
      <w:pPr>
        <w:spacing w:after="0" w:line="275" w:lineRule="auto"/>
        <w:rPr>
          <w:sz w:val="20"/>
          <w:szCs w:val="20"/>
          <w:color w:val="auto"/>
        </w:rPr>
      </w:pPr>
      <w:r>
        <w:rPr>
          <w:rFonts w:ascii="Arial" w:cs="Arial" w:eastAsia="Arial" w:hAnsi="Arial"/>
          <w:sz w:val="16"/>
          <w:szCs w:val="16"/>
          <w:color w:val="3E474E"/>
        </w:rPr>
        <w:t>The Proxy Statement accompanying this notice describes each of these items of business in detail. The Board of Directors has fixed the close of business on April 24, 2026 as the record date for the determination of stockholders entitled to notice and voting rights at the Annual Meeting and any adjournments or postponements of the Annual Meeting.</w:t>
      </w:r>
    </w:p>
    <w:p>
      <w:pPr>
        <w:spacing w:after="0" w:line="191"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3E474E"/>
        </w:rPr>
        <w:t>We will be hosting a virtual Annual Meeting of Stockholders live via webcast this year. To attend the Annual Meeting virtually, please visit the web portal located at www.virtualshareholdermeeting.com/AHRT2026 and enter the control number found on the proxy card or voting instruction form. If you plan to attend the Annual Meeting, please visit the website at https://ir.ahrealtytrust.com, press releases, and our filings with the U.S. Securities and Exchange Commission for any changes or updates one week prior to the Annual Meeting date. As always, we encourage you to vote your shares prior to the Annual Meeting.</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3E474E"/>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234440" cy="52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3E474E"/>
        </w:rPr>
        <w:t>Y. Summer Chu</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EVP of Legal and Corporate Secretary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Virginia Beach, Virginia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April 30, 2026</w:t>
      </w:r>
    </w:p>
    <w:p>
      <w:pPr>
        <w:spacing w:after="0" w:line="234" w:lineRule="exact"/>
        <w:rPr>
          <w:sz w:val="20"/>
          <w:szCs w:val="20"/>
          <w:color w:val="auto"/>
        </w:rPr>
      </w:pPr>
    </w:p>
    <w:p>
      <w:pPr>
        <w:ind w:right="320"/>
        <w:spacing w:after="0" w:line="296" w:lineRule="auto"/>
        <w:rPr>
          <w:sz w:val="20"/>
          <w:szCs w:val="20"/>
          <w:color w:val="auto"/>
        </w:rPr>
      </w:pPr>
      <w:r>
        <w:rPr>
          <w:rFonts w:ascii="Arial" w:cs="Arial" w:eastAsia="Arial" w:hAnsi="Arial"/>
          <w:sz w:val="18"/>
          <w:szCs w:val="18"/>
          <w:b w:val="1"/>
          <w:bCs w:val="1"/>
          <w:color w:val="57AED5"/>
        </w:rPr>
        <w:t>Your vote is important. Whether or not you expect to attend the Annual Meeting, please vote online, by telephone, or complete, date, sign, and promptly return the proxy card so that your shares may be represented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713740</wp:posOffset>
            </wp:positionH>
            <wp:positionV relativeFrom="page">
              <wp:posOffset>2720340</wp:posOffset>
            </wp:positionV>
            <wp:extent cx="61290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290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JUNE 17, 2026.</w:t>
      </w:r>
    </w:p>
    <w:p>
      <w:pPr>
        <w:spacing w:after="0" w:line="200" w:lineRule="exact"/>
        <w:rPr>
          <w:sz w:val="20"/>
          <w:szCs w:val="20"/>
          <w:color w:val="auto"/>
        </w:rPr>
      </w:pPr>
    </w:p>
    <w:p>
      <w:pPr>
        <w:spacing w:after="0" w:line="225" w:lineRule="exact"/>
        <w:rPr>
          <w:sz w:val="20"/>
          <w:szCs w:val="20"/>
          <w:color w:val="auto"/>
        </w:rPr>
      </w:pPr>
    </w:p>
    <w:p>
      <w:pPr>
        <w:jc w:val="cente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This Notice of Annual Meeting, the Proxy Statement, the proxy card sample and our 2025 Annual Report to Stockholders/Form 10-K for the year ended December 31, 2025,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1368425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258445</wp:posOffset>
            </wp:positionV>
            <wp:extent cx="61290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9020" cy="17145"/>
                    </a:xfrm>
                    <a:prstGeom prst="rect">
                      <a:avLst/>
                    </a:prstGeom>
                    <a:noFill/>
                  </pic:spPr>
                </pic:pic>
              </a:graphicData>
            </a:graphic>
          </wp:anchor>
        </w:drawing>
      </w:r>
    </w:p>
    <w:p>
      <w:pPr>
        <w:sectPr>
          <w:pgSz w:w="11900" w:h="16838" w:orient="portrait"/>
          <w:cols w:equalWidth="0" w:num="1">
            <w:col w:w="9760"/>
          </w:cols>
          <w:pgMar w:left="1140" w:top="1440" w:right="999" w:bottom="1440" w:gutter="0" w:footer="0" w:header="0"/>
        </w:sectPr>
      </w:pPr>
    </w:p>
    <w:bookmarkStart w:id="7" w:name="page8"/>
    <w:bookmarkEnd w:id="7"/>
    <w:p>
      <w:pPr>
        <w:spacing w:after="0" w:line="142"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Table of Contents</w:t>
      </w:r>
    </w:p>
    <w:p>
      <w:pPr>
        <w:spacing w:after="0" w:line="102" w:lineRule="exact"/>
        <w:rPr>
          <w:sz w:val="20"/>
          <w:szCs w:val="20"/>
          <w:color w:val="auto"/>
        </w:rPr>
      </w:pPr>
    </w:p>
    <w:p>
      <w:pPr>
        <w:ind w:left="800"/>
        <w:spacing w:after="0"/>
        <w:rPr>
          <w:sz w:val="20"/>
          <w:szCs w:val="20"/>
          <w:color w:val="auto"/>
        </w:rPr>
      </w:pPr>
      <w:r>
        <w:rPr>
          <w:rFonts w:ascii="Arial" w:cs="Arial" w:eastAsia="Arial" w:hAnsi="Arial"/>
          <w:sz w:val="18"/>
          <w:szCs w:val="18"/>
          <w:color w:val="1478A3"/>
        </w:rPr>
        <w:t>Proxy Summary</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18"/>
          <w:szCs w:val="18"/>
          <w:color w:val="1478A3"/>
        </w:rPr>
        <w:t>About the Meeting</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8"/>
          <w:szCs w:val="18"/>
          <w:color w:val="1478A3"/>
        </w:rPr>
        <w:t>Proposal 1: Election of Directors</w:t>
      </w:r>
    </w:p>
    <w:p>
      <w:pPr>
        <w:spacing w:after="0" w:line="257" w:lineRule="exact"/>
        <w:rPr>
          <w:sz w:val="20"/>
          <w:szCs w:val="20"/>
          <w:color w:val="auto"/>
        </w:rPr>
      </w:pPr>
    </w:p>
    <w:p>
      <w:pPr>
        <w:ind w:left="980"/>
        <w:spacing w:after="0"/>
        <w:rPr>
          <w:sz w:val="20"/>
          <w:szCs w:val="20"/>
          <w:color w:val="auto"/>
        </w:rPr>
      </w:pPr>
      <w:r>
        <w:rPr>
          <w:rFonts w:ascii="Arial" w:cs="Arial" w:eastAsia="Arial" w:hAnsi="Arial"/>
          <w:sz w:val="16"/>
          <w:szCs w:val="16"/>
          <w:color w:val="3E474E"/>
        </w:rPr>
        <w:t>Vote Required and Recommendation</w:t>
      </w:r>
    </w:p>
    <w:p>
      <w:pPr>
        <w:spacing w:after="0" w:line="17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1478A3"/>
        </w:rPr>
        <w:t>Corporate Governance and Board Matters</w:t>
      </w:r>
    </w:p>
    <w:p>
      <w:pPr>
        <w:spacing w:after="0" w:line="108"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Board Leadership Structure</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Corporate Governance Guidelines</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Independence of Directors</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Board and Committee Meetings</w:t>
      </w:r>
    </w:p>
    <w:p>
      <w:pPr>
        <w:spacing w:after="0" w:line="154" w:lineRule="exact"/>
        <w:rPr>
          <w:sz w:val="20"/>
          <w:szCs w:val="20"/>
          <w:color w:val="auto"/>
        </w:rPr>
      </w:pPr>
    </w:p>
    <w:p>
      <w:pPr>
        <w:ind w:left="1040"/>
        <w:spacing w:after="0" w:line="480" w:lineRule="auto"/>
        <w:rPr>
          <w:sz w:val="20"/>
          <w:szCs w:val="20"/>
          <w:color w:val="auto"/>
        </w:rPr>
      </w:pPr>
      <w:r>
        <w:rPr>
          <w:rFonts w:ascii="Arial" w:cs="Arial" w:eastAsia="Arial" w:hAnsi="Arial"/>
          <w:sz w:val="16"/>
          <w:szCs w:val="16"/>
          <w:color w:val="3E474E"/>
        </w:rPr>
        <w:t>Executive Sessions of Non-Management Directors Board Membership</w:t>
      </w:r>
    </w:p>
    <w:p>
      <w:pPr>
        <w:spacing w:after="0" w:line="223" w:lineRule="exact"/>
        <w:rPr>
          <w:sz w:val="20"/>
          <w:szCs w:val="20"/>
          <w:color w:val="auto"/>
        </w:rPr>
      </w:pPr>
    </w:p>
    <w:p>
      <w:pPr>
        <w:ind w:left="1040" w:right="60"/>
        <w:spacing w:after="0" w:line="409" w:lineRule="auto"/>
        <w:rPr>
          <w:sz w:val="20"/>
          <w:szCs w:val="20"/>
          <w:color w:val="auto"/>
        </w:rPr>
      </w:pPr>
      <w:r>
        <w:rPr>
          <w:rFonts w:ascii="Arial" w:cs="Arial" w:eastAsia="Arial" w:hAnsi="Arial"/>
          <w:sz w:val="16"/>
          <w:szCs w:val="16"/>
          <w:color w:val="3E474E"/>
        </w:rPr>
        <w:t>Majority Voting Standard for Uncontested Director Elections</w:t>
      </w:r>
    </w:p>
    <w:p>
      <w:pPr>
        <w:spacing w:after="0" w:line="200" w:lineRule="exact"/>
        <w:rPr>
          <w:sz w:val="20"/>
          <w:szCs w:val="20"/>
          <w:color w:val="auto"/>
        </w:rPr>
      </w:pPr>
    </w:p>
    <w:p>
      <w:pPr>
        <w:spacing w:after="0" w:line="361"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Succession Planning</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Director Nominee Selection Process</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Stockholder Amendments to Bylaws</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Board Self-Assessment and Evaluation</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Role of the Board in Risk Oversight</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Board Committees</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Stock Ownership Guidelines</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Insider Trading Policy</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Hedging, Pledging and Short</w:t>
      </w:r>
      <w:r>
        <w:rPr>
          <w:rFonts w:ascii="Arial" w:cs="Arial" w:eastAsia="Arial" w:hAnsi="Arial"/>
          <w:sz w:val="16"/>
          <w:szCs w:val="16"/>
          <w:color w:val="0000FF"/>
        </w:rPr>
        <w:t>-</w:t>
      </w:r>
      <w:r>
        <w:rPr>
          <w:rFonts w:ascii="Arial" w:cs="Arial" w:eastAsia="Arial" w:hAnsi="Arial"/>
          <w:sz w:val="16"/>
          <w:szCs w:val="16"/>
          <w:color w:val="3E474E"/>
        </w:rPr>
        <w:t>Term Speculative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6"/>
          <w:szCs w:val="16"/>
          <w:color w:val="3E474E"/>
        </w:rPr>
        <w:t>Transactions</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Clawback Policy</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Information Security</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Code of Business Conduct and Ethics</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6"/>
          <w:szCs w:val="16"/>
          <w:color w:val="3E474E"/>
        </w:rPr>
        <w:t>Availability of Corporate Governance Materials</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8"/>
          <w:szCs w:val="18"/>
          <w:color w:val="1478A3"/>
        </w:rPr>
        <w:t>Related Party Transactions</w:t>
      </w:r>
    </w:p>
    <w:p>
      <w:pPr>
        <w:spacing w:after="0" w:line="108" w:lineRule="exact"/>
        <w:rPr>
          <w:sz w:val="20"/>
          <w:szCs w:val="20"/>
          <w:color w:val="auto"/>
        </w:rPr>
      </w:pPr>
    </w:p>
    <w:p>
      <w:pPr>
        <w:ind w:left="1040" w:right="740"/>
        <w:spacing w:after="0" w:line="438" w:lineRule="auto"/>
        <w:rPr>
          <w:sz w:val="20"/>
          <w:szCs w:val="20"/>
          <w:color w:val="auto"/>
        </w:rPr>
      </w:pPr>
      <w:r>
        <w:rPr>
          <w:rFonts w:ascii="Arial" w:cs="Arial" w:eastAsia="Arial" w:hAnsi="Arial"/>
          <w:sz w:val="16"/>
          <w:szCs w:val="16"/>
          <w:color w:val="3E474E"/>
        </w:rPr>
        <w:t>Related Party Transaction Policy Related Party Transactions Indemnification of Officers and Directors</w:t>
      </w:r>
    </w:p>
    <w:p>
      <w:pPr>
        <w:ind w:left="800"/>
        <w:spacing w:after="0"/>
        <w:rPr>
          <w:sz w:val="20"/>
          <w:szCs w:val="20"/>
          <w:color w:val="auto"/>
        </w:rPr>
      </w:pPr>
      <w:r>
        <w:rPr>
          <w:rFonts w:ascii="Arial" w:cs="Arial" w:eastAsia="Arial" w:hAnsi="Arial"/>
          <w:sz w:val="18"/>
          <w:szCs w:val="18"/>
          <w:color w:val="1478A3"/>
        </w:rPr>
        <w:t>Director Compensation</w:t>
      </w:r>
    </w:p>
    <w:p>
      <w:pPr>
        <w:spacing w:after="0" w:line="108" w:lineRule="exact"/>
        <w:rPr>
          <w:sz w:val="20"/>
          <w:szCs w:val="20"/>
          <w:color w:val="auto"/>
        </w:rPr>
      </w:pPr>
    </w:p>
    <w:p>
      <w:pPr>
        <w:ind w:left="1040" w:right="660"/>
        <w:spacing w:after="0" w:line="460" w:lineRule="auto"/>
        <w:rPr>
          <w:sz w:val="20"/>
          <w:szCs w:val="20"/>
          <w:color w:val="auto"/>
        </w:rPr>
      </w:pPr>
      <w:r>
        <w:rPr>
          <w:rFonts w:ascii="Arial" w:cs="Arial" w:eastAsia="Arial" w:hAnsi="Arial"/>
          <w:sz w:val="16"/>
          <w:szCs w:val="16"/>
          <w:color w:val="3E474E"/>
        </w:rPr>
        <w:t>Elements of 2025 Director Compensation Director Compensation for 2025 Executive Chairman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9" w:hanging="429"/>
        <w:spacing w:after="0"/>
        <w:tabs>
          <w:tab w:leader="none" w:pos="429" w:val="left"/>
        </w:tabs>
        <w:numPr>
          <w:ilvl w:val="0"/>
          <w:numId w:val="9"/>
        </w:numPr>
        <w:rPr>
          <w:rFonts w:ascii="Arial" w:cs="Arial" w:eastAsia="Arial" w:hAnsi="Arial"/>
          <w:sz w:val="16"/>
          <w:szCs w:val="16"/>
          <w:b w:val="1"/>
          <w:bCs w:val="1"/>
          <w:color w:val="1478A3"/>
        </w:rPr>
      </w:pPr>
      <w:r>
        <w:rPr>
          <w:rFonts w:ascii="Arial" w:cs="Arial" w:eastAsia="Arial" w:hAnsi="Arial"/>
          <w:sz w:val="18"/>
          <w:szCs w:val="18"/>
          <w:color w:val="1478A3"/>
        </w:rPr>
        <w:t>Report of the Audit Committee</w:t>
      </w:r>
    </w:p>
    <w:p>
      <w:pPr>
        <w:spacing w:after="0" w:line="104" w:lineRule="exact"/>
        <w:rPr>
          <w:sz w:val="20"/>
          <w:szCs w:val="20"/>
          <w:color w:val="auto"/>
        </w:rPr>
      </w:pPr>
    </w:p>
    <w:p>
      <w:pPr>
        <w:ind w:left="429"/>
        <w:spacing w:after="0"/>
        <w:rPr>
          <w:sz w:val="20"/>
          <w:szCs w:val="20"/>
          <w:color w:val="auto"/>
        </w:rPr>
      </w:pPr>
      <w:r>
        <w:rPr>
          <w:rFonts w:ascii="Arial" w:cs="Arial" w:eastAsia="Arial" w:hAnsi="Arial"/>
          <w:sz w:val="18"/>
          <w:szCs w:val="18"/>
          <w:color w:val="1478A3"/>
        </w:rPr>
        <w:t>Proposal 2: Ratification of Appointment of</w:t>
      </w:r>
    </w:p>
    <w:p>
      <w:pPr>
        <w:spacing w:after="0" w:line="27" w:lineRule="exact"/>
        <w:rPr>
          <w:sz w:val="20"/>
          <w:szCs w:val="20"/>
          <w:color w:val="auto"/>
        </w:rPr>
      </w:pPr>
    </w:p>
    <w:p>
      <w:pPr>
        <w:ind w:left="429" w:hanging="429"/>
        <w:spacing w:after="0"/>
        <w:tabs>
          <w:tab w:leader="none" w:pos="429" w:val="left"/>
        </w:tabs>
        <w:numPr>
          <w:ilvl w:val="0"/>
          <w:numId w:val="10"/>
        </w:numPr>
        <w:rPr>
          <w:rFonts w:ascii="Arial" w:cs="Arial" w:eastAsia="Arial" w:hAnsi="Arial"/>
          <w:sz w:val="16"/>
          <w:szCs w:val="16"/>
          <w:b w:val="1"/>
          <w:bCs w:val="1"/>
          <w:color w:val="1478A3"/>
        </w:rPr>
      </w:pPr>
      <w:r>
        <w:rPr>
          <w:rFonts w:ascii="Arial" w:cs="Arial" w:eastAsia="Arial" w:hAnsi="Arial"/>
          <w:sz w:val="18"/>
          <w:szCs w:val="18"/>
          <w:color w:val="1478A3"/>
        </w:rPr>
        <w:t>Independent Registered Public Accounting Firm</w:t>
      </w:r>
    </w:p>
    <w:p>
      <w:pPr>
        <w:ind w:left="629" w:hanging="629"/>
        <w:spacing w:after="0" w:line="198" w:lineRule="auto"/>
        <w:tabs>
          <w:tab w:leader="none" w:pos="629" w:val="left"/>
        </w:tabs>
        <w:numPr>
          <w:ilvl w:val="0"/>
          <w:numId w:val="11"/>
        </w:numPr>
        <w:rPr>
          <w:rFonts w:ascii="Arial" w:cs="Arial" w:eastAsia="Arial" w:hAnsi="Arial"/>
          <w:sz w:val="32"/>
          <w:szCs w:val="32"/>
          <w:b w:val="1"/>
          <w:bCs w:val="1"/>
          <w:color w:val="1478A3"/>
          <w:vertAlign w:val="subscript"/>
        </w:rPr>
      </w:pPr>
      <w:r>
        <w:rPr>
          <w:rFonts w:ascii="Arial" w:cs="Arial" w:eastAsia="Arial" w:hAnsi="Arial"/>
          <w:sz w:val="16"/>
          <w:szCs w:val="16"/>
          <w:color w:val="3E474E"/>
        </w:rPr>
        <w:t>Vote Required and Recommendation</w:t>
      </w:r>
    </w:p>
    <w:p>
      <w:pPr>
        <w:spacing w:after="0" w:line="79" w:lineRule="exact"/>
        <w:rPr>
          <w:sz w:val="20"/>
          <w:szCs w:val="20"/>
          <w:color w:val="auto"/>
        </w:rPr>
      </w:pPr>
    </w:p>
    <w:p>
      <w:pPr>
        <w:ind w:left="429"/>
        <w:spacing w:after="0"/>
        <w:rPr>
          <w:sz w:val="20"/>
          <w:szCs w:val="20"/>
          <w:color w:val="auto"/>
        </w:rPr>
      </w:pPr>
      <w:r>
        <w:rPr>
          <w:rFonts w:ascii="Arial" w:cs="Arial" w:eastAsia="Arial" w:hAnsi="Arial"/>
          <w:sz w:val="18"/>
          <w:szCs w:val="18"/>
          <w:color w:val="1478A3"/>
        </w:rPr>
        <w:t>Proposal 3: Advisory Vote On Executive</w:t>
      </w:r>
    </w:p>
    <w:p>
      <w:pPr>
        <w:spacing w:after="0" w:line="27" w:lineRule="exact"/>
        <w:rPr>
          <w:sz w:val="20"/>
          <w:szCs w:val="20"/>
          <w:color w:val="auto"/>
        </w:rPr>
      </w:pPr>
    </w:p>
    <w:p>
      <w:pPr>
        <w:ind w:left="429" w:hanging="429"/>
        <w:spacing w:after="0"/>
        <w:tabs>
          <w:tab w:leader="none" w:pos="429" w:val="left"/>
        </w:tabs>
        <w:numPr>
          <w:ilvl w:val="0"/>
          <w:numId w:val="12"/>
        </w:numPr>
        <w:rPr>
          <w:rFonts w:ascii="Arial" w:cs="Arial" w:eastAsia="Arial" w:hAnsi="Arial"/>
          <w:sz w:val="16"/>
          <w:szCs w:val="16"/>
          <w:b w:val="1"/>
          <w:bCs w:val="1"/>
          <w:color w:val="1478A3"/>
        </w:rPr>
      </w:pPr>
      <w:r>
        <w:rPr>
          <w:rFonts w:ascii="Arial" w:cs="Arial" w:eastAsia="Arial" w:hAnsi="Arial"/>
          <w:sz w:val="18"/>
          <w:szCs w:val="18"/>
          <w:color w:val="1478A3"/>
        </w:rPr>
        <w:t>Compensation</w:t>
      </w:r>
    </w:p>
    <w:p>
      <w:pPr>
        <w:spacing w:after="0" w:line="29" w:lineRule="exact"/>
        <w:rPr>
          <w:rFonts w:ascii="Arial" w:cs="Arial" w:eastAsia="Arial" w:hAnsi="Arial"/>
          <w:sz w:val="16"/>
          <w:szCs w:val="16"/>
          <w:b w:val="1"/>
          <w:bCs w:val="1"/>
          <w:color w:val="1478A3"/>
        </w:rPr>
      </w:pPr>
    </w:p>
    <w:p>
      <w:pPr>
        <w:ind w:left="669" w:hanging="669"/>
        <w:spacing w:after="0" w:line="185" w:lineRule="auto"/>
        <w:tabs>
          <w:tab w:leader="none" w:pos="669" w:val="left"/>
        </w:tabs>
        <w:numPr>
          <w:ilvl w:val="0"/>
          <w:numId w:val="12"/>
        </w:numPr>
        <w:rPr>
          <w:rFonts w:ascii="Arial" w:cs="Arial" w:eastAsia="Arial" w:hAnsi="Arial"/>
          <w:sz w:val="31"/>
          <w:szCs w:val="31"/>
          <w:b w:val="1"/>
          <w:bCs w:val="1"/>
          <w:color w:val="1478A3"/>
          <w:vertAlign w:val="subscript"/>
        </w:rPr>
      </w:pPr>
      <w:r>
        <w:rPr>
          <w:rFonts w:ascii="Arial" w:cs="Arial" w:eastAsia="Arial" w:hAnsi="Arial"/>
          <w:sz w:val="16"/>
          <w:szCs w:val="16"/>
          <w:color w:val="3E474E"/>
        </w:rPr>
        <w:t>Vote Required and Recommendation</w:t>
      </w:r>
    </w:p>
    <w:p>
      <w:pPr>
        <w:spacing w:after="0" w:line="146" w:lineRule="exact"/>
        <w:rPr>
          <w:sz w:val="20"/>
          <w:szCs w:val="20"/>
          <w:color w:val="auto"/>
        </w:rPr>
      </w:pPr>
    </w:p>
    <w:p>
      <w:pPr>
        <w:ind w:left="429" w:hanging="429"/>
        <w:spacing w:after="0"/>
        <w:tabs>
          <w:tab w:leader="none" w:pos="429" w:val="left"/>
        </w:tabs>
        <w:numPr>
          <w:ilvl w:val="0"/>
          <w:numId w:val="13"/>
        </w:numPr>
        <w:rPr>
          <w:rFonts w:ascii="Arial" w:cs="Arial" w:eastAsia="Arial" w:hAnsi="Arial"/>
          <w:sz w:val="16"/>
          <w:szCs w:val="16"/>
          <w:color w:val="1478A3"/>
        </w:rPr>
      </w:pPr>
      <w:r>
        <w:rPr>
          <w:rFonts w:ascii="Arial" w:cs="Arial" w:eastAsia="Arial" w:hAnsi="Arial"/>
          <w:sz w:val="18"/>
          <w:szCs w:val="18"/>
          <w:color w:val="1478A3"/>
        </w:rPr>
        <w:t>Compensation Committee Report</w:t>
      </w:r>
    </w:p>
    <w:p>
      <w:pPr>
        <w:spacing w:after="0" w:line="131" w:lineRule="exact"/>
        <w:rPr>
          <w:sz w:val="20"/>
          <w:szCs w:val="20"/>
          <w:color w:val="auto"/>
        </w:rPr>
      </w:pPr>
    </w:p>
    <w:p>
      <w:pPr>
        <w:ind w:left="429" w:hanging="429"/>
        <w:spacing w:after="0"/>
        <w:tabs>
          <w:tab w:leader="none" w:pos="429" w:val="left"/>
        </w:tabs>
        <w:numPr>
          <w:ilvl w:val="0"/>
          <w:numId w:val="14"/>
        </w:numPr>
        <w:rPr>
          <w:rFonts w:ascii="Arial" w:cs="Arial" w:eastAsia="Arial" w:hAnsi="Arial"/>
          <w:sz w:val="16"/>
          <w:szCs w:val="16"/>
          <w:color w:val="1478A3"/>
        </w:rPr>
      </w:pPr>
      <w:r>
        <w:rPr>
          <w:rFonts w:ascii="Arial" w:cs="Arial" w:eastAsia="Arial" w:hAnsi="Arial"/>
          <w:sz w:val="18"/>
          <w:szCs w:val="18"/>
          <w:color w:val="1478A3"/>
        </w:rPr>
        <w:t>Executive Officers</w:t>
      </w:r>
    </w:p>
    <w:p>
      <w:pPr>
        <w:spacing w:after="0" w:line="131" w:lineRule="exact"/>
        <w:rPr>
          <w:sz w:val="20"/>
          <w:szCs w:val="20"/>
          <w:color w:val="auto"/>
        </w:rPr>
      </w:pPr>
    </w:p>
    <w:p>
      <w:pPr>
        <w:ind w:left="429" w:hanging="429"/>
        <w:spacing w:after="0"/>
        <w:tabs>
          <w:tab w:leader="none" w:pos="429" w:val="left"/>
        </w:tabs>
        <w:numPr>
          <w:ilvl w:val="0"/>
          <w:numId w:val="15"/>
        </w:numPr>
        <w:rPr>
          <w:rFonts w:ascii="Arial" w:cs="Arial" w:eastAsia="Arial" w:hAnsi="Arial"/>
          <w:sz w:val="16"/>
          <w:szCs w:val="16"/>
          <w:color w:val="1478A3"/>
        </w:rPr>
      </w:pPr>
      <w:r>
        <w:rPr>
          <w:rFonts w:ascii="Arial" w:cs="Arial" w:eastAsia="Arial" w:hAnsi="Arial"/>
          <w:sz w:val="18"/>
          <w:szCs w:val="18"/>
          <w:color w:val="1478A3"/>
        </w:rPr>
        <w:t>Compensation Discussion and Analysis</w:t>
      </w:r>
    </w:p>
    <w:p>
      <w:pPr>
        <w:spacing w:after="0" w:line="130" w:lineRule="exact"/>
        <w:rPr>
          <w:rFonts w:ascii="Arial" w:cs="Arial" w:eastAsia="Arial" w:hAnsi="Arial"/>
          <w:sz w:val="16"/>
          <w:szCs w:val="16"/>
          <w:color w:val="1478A3"/>
        </w:rPr>
      </w:pPr>
    </w:p>
    <w:p>
      <w:pPr>
        <w:ind w:left="429" w:hanging="429"/>
        <w:spacing w:after="0"/>
        <w:tabs>
          <w:tab w:leader="none" w:pos="429" w:val="left"/>
        </w:tabs>
        <w:numPr>
          <w:ilvl w:val="0"/>
          <w:numId w:val="15"/>
        </w:numPr>
        <w:rPr>
          <w:rFonts w:ascii="Arial" w:cs="Arial" w:eastAsia="Arial" w:hAnsi="Arial"/>
          <w:sz w:val="16"/>
          <w:szCs w:val="16"/>
          <w:color w:val="1478A3"/>
        </w:rPr>
      </w:pPr>
      <w:r>
        <w:rPr>
          <w:rFonts w:ascii="Arial" w:cs="Arial" w:eastAsia="Arial" w:hAnsi="Arial"/>
          <w:sz w:val="18"/>
          <w:szCs w:val="18"/>
          <w:color w:val="1478A3"/>
        </w:rPr>
        <w:t>Compensation Tables and Narratives</w:t>
      </w:r>
    </w:p>
    <w:p>
      <w:pPr>
        <w:ind w:left="669" w:hanging="669"/>
        <w:spacing w:after="0" w:line="210" w:lineRule="auto"/>
        <w:tabs>
          <w:tab w:leader="none" w:pos="669" w:val="left"/>
        </w:tabs>
        <w:numPr>
          <w:ilvl w:val="0"/>
          <w:numId w:val="16"/>
        </w:numPr>
        <w:rPr>
          <w:rFonts w:ascii="Arial" w:cs="Arial" w:eastAsia="Arial" w:hAnsi="Arial"/>
          <w:sz w:val="32"/>
          <w:szCs w:val="32"/>
          <w:color w:val="1478A3"/>
          <w:vertAlign w:val="subscript"/>
        </w:rPr>
      </w:pPr>
      <w:r>
        <w:rPr>
          <w:rFonts w:ascii="Arial" w:cs="Arial" w:eastAsia="Arial" w:hAnsi="Arial"/>
          <w:sz w:val="16"/>
          <w:szCs w:val="16"/>
          <w:color w:val="3E474E"/>
        </w:rPr>
        <w:t>Summary Compensation Table</w:t>
      </w:r>
    </w:p>
    <w:p>
      <w:pPr>
        <w:ind w:left="669" w:hanging="669"/>
        <w:spacing w:after="0" w:line="220" w:lineRule="auto"/>
        <w:tabs>
          <w:tab w:leader="none" w:pos="669" w:val="left"/>
        </w:tabs>
        <w:numPr>
          <w:ilvl w:val="0"/>
          <w:numId w:val="17"/>
        </w:numPr>
        <w:rPr>
          <w:rFonts w:ascii="Arial" w:cs="Arial" w:eastAsia="Arial" w:hAnsi="Arial"/>
          <w:sz w:val="32"/>
          <w:szCs w:val="32"/>
          <w:color w:val="1478A3"/>
          <w:vertAlign w:val="subscript"/>
        </w:rPr>
      </w:pPr>
      <w:r>
        <w:rPr>
          <w:rFonts w:ascii="Arial" w:cs="Arial" w:eastAsia="Arial" w:hAnsi="Arial"/>
          <w:sz w:val="16"/>
          <w:szCs w:val="16"/>
          <w:color w:val="3E474E"/>
        </w:rPr>
        <w:t>Grants of Plan-Based Awards</w:t>
      </w:r>
    </w:p>
    <w:p>
      <w:pPr>
        <w:spacing w:after="0" w:line="123" w:lineRule="exact"/>
        <w:rPr>
          <w:rFonts w:ascii="Arial" w:cs="Arial" w:eastAsia="Arial" w:hAnsi="Arial"/>
          <w:sz w:val="32"/>
          <w:szCs w:val="32"/>
          <w:color w:val="1478A3"/>
          <w:vertAlign w:val="subscript"/>
        </w:rPr>
      </w:pPr>
    </w:p>
    <w:p>
      <w:pPr>
        <w:ind w:left="669"/>
        <w:spacing w:after="0"/>
        <w:rPr>
          <w:rFonts w:ascii="Arial" w:cs="Arial" w:eastAsia="Arial" w:hAnsi="Arial"/>
          <w:sz w:val="32"/>
          <w:szCs w:val="32"/>
          <w:color w:val="1478A3"/>
          <w:vertAlign w:val="subscript"/>
        </w:rPr>
      </w:pPr>
      <w:r>
        <w:rPr>
          <w:rFonts w:ascii="Arial" w:cs="Arial" w:eastAsia="Arial" w:hAnsi="Arial"/>
          <w:sz w:val="16"/>
          <w:szCs w:val="16"/>
          <w:color w:val="3E474E"/>
        </w:rPr>
        <w:t>Narrative to Summary Compensation Table and Grants</w:t>
      </w:r>
    </w:p>
    <w:p>
      <w:pPr>
        <w:spacing w:after="0" w:line="100" w:lineRule="exact"/>
        <w:rPr>
          <w:sz w:val="20"/>
          <w:szCs w:val="20"/>
          <w:color w:val="auto"/>
        </w:rPr>
      </w:pPr>
    </w:p>
    <w:p>
      <w:pPr>
        <w:ind w:left="669"/>
        <w:spacing w:after="0"/>
        <w:rPr>
          <w:sz w:val="20"/>
          <w:szCs w:val="20"/>
          <w:color w:val="auto"/>
        </w:rPr>
      </w:pPr>
      <w:r>
        <w:rPr>
          <w:rFonts w:ascii="Arial" w:cs="Arial" w:eastAsia="Arial" w:hAnsi="Arial"/>
          <w:sz w:val="16"/>
          <w:szCs w:val="16"/>
          <w:color w:val="3E474E"/>
        </w:rPr>
        <w:t>of</w:t>
      </w:r>
    </w:p>
    <w:p>
      <w:pPr>
        <w:ind w:left="729" w:hanging="729"/>
        <w:spacing w:after="0" w:line="196" w:lineRule="auto"/>
        <w:tabs>
          <w:tab w:leader="none" w:pos="729" w:val="left"/>
        </w:tabs>
        <w:numPr>
          <w:ilvl w:val="0"/>
          <w:numId w:val="18"/>
        </w:numPr>
        <w:rPr>
          <w:rFonts w:ascii="Arial" w:cs="Arial" w:eastAsia="Arial" w:hAnsi="Arial"/>
          <w:sz w:val="32"/>
          <w:szCs w:val="32"/>
          <w:color w:val="1478A3"/>
          <w:vertAlign w:val="subscript"/>
        </w:rPr>
      </w:pPr>
      <w:r>
        <w:rPr>
          <w:rFonts w:ascii="Arial" w:cs="Arial" w:eastAsia="Arial" w:hAnsi="Arial"/>
          <w:sz w:val="16"/>
          <w:szCs w:val="16"/>
          <w:color w:val="3E474E"/>
        </w:rPr>
        <w:t>Plan-Based Awards Table</w:t>
      </w:r>
    </w:p>
    <w:p>
      <w:pPr>
        <w:spacing w:after="0" w:line="137" w:lineRule="exact"/>
        <w:rPr>
          <w:sz w:val="20"/>
          <w:szCs w:val="20"/>
          <w:color w:val="auto"/>
        </w:rPr>
      </w:pPr>
    </w:p>
    <w:p>
      <w:pPr>
        <w:ind w:left="669" w:right="700"/>
        <w:spacing w:after="0" w:line="324" w:lineRule="auto"/>
        <w:rPr>
          <w:sz w:val="20"/>
          <w:szCs w:val="20"/>
          <w:color w:val="auto"/>
        </w:rPr>
      </w:pPr>
      <w:r>
        <w:rPr>
          <w:rFonts w:ascii="Arial" w:cs="Arial" w:eastAsia="Arial" w:hAnsi="Arial"/>
          <w:sz w:val="16"/>
          <w:szCs w:val="16"/>
          <w:color w:val="3E474E"/>
        </w:rPr>
        <w:t>Outstanding Equity Awards at Fiscal Year-End December</w:t>
      </w:r>
    </w:p>
    <w:p>
      <w:pPr>
        <w:ind w:left="669" w:hanging="669"/>
        <w:spacing w:after="0" w:line="182" w:lineRule="auto"/>
        <w:tabs>
          <w:tab w:leader="none" w:pos="669" w:val="left"/>
        </w:tabs>
        <w:numPr>
          <w:ilvl w:val="0"/>
          <w:numId w:val="19"/>
        </w:numPr>
        <w:rPr>
          <w:rFonts w:ascii="Arial" w:cs="Arial" w:eastAsia="Arial" w:hAnsi="Arial"/>
          <w:sz w:val="31"/>
          <w:szCs w:val="31"/>
          <w:color w:val="1478A3"/>
          <w:vertAlign w:val="subscript"/>
        </w:rPr>
      </w:pPr>
      <w:r>
        <w:rPr>
          <w:rFonts w:ascii="Arial" w:cs="Arial" w:eastAsia="Arial" w:hAnsi="Arial"/>
          <w:sz w:val="16"/>
          <w:szCs w:val="16"/>
          <w:color w:val="3E474E"/>
        </w:rPr>
        <w:t>31, 2025</w:t>
      </w:r>
    </w:p>
    <w:p>
      <w:pPr>
        <w:spacing w:after="0" w:line="68" w:lineRule="exact"/>
        <w:rPr>
          <w:rFonts w:ascii="Arial" w:cs="Arial" w:eastAsia="Arial" w:hAnsi="Arial"/>
          <w:sz w:val="31"/>
          <w:szCs w:val="31"/>
          <w:color w:val="1478A3"/>
          <w:vertAlign w:val="subscript"/>
        </w:rPr>
      </w:pPr>
    </w:p>
    <w:p>
      <w:pPr>
        <w:ind w:left="669" w:hanging="669"/>
        <w:spacing w:after="0" w:line="184" w:lineRule="auto"/>
        <w:tabs>
          <w:tab w:leader="none" w:pos="669" w:val="left"/>
        </w:tabs>
        <w:numPr>
          <w:ilvl w:val="0"/>
          <w:numId w:val="19"/>
        </w:numPr>
        <w:rPr>
          <w:rFonts w:ascii="Arial" w:cs="Arial" w:eastAsia="Arial" w:hAnsi="Arial"/>
          <w:sz w:val="32"/>
          <w:szCs w:val="32"/>
          <w:color w:val="1478A3"/>
          <w:vertAlign w:val="subscript"/>
        </w:rPr>
      </w:pPr>
      <w:r>
        <w:rPr>
          <w:rFonts w:ascii="Arial" w:cs="Arial" w:eastAsia="Arial" w:hAnsi="Arial"/>
          <w:sz w:val="16"/>
          <w:szCs w:val="16"/>
          <w:color w:val="3E474E"/>
        </w:rPr>
        <w:t>2025 Option Exercises and Stock Vested</w:t>
      </w:r>
    </w:p>
    <w:p>
      <w:pPr>
        <w:spacing w:after="0" w:line="124" w:lineRule="exact"/>
        <w:rPr>
          <w:rFonts w:ascii="Arial" w:cs="Arial" w:eastAsia="Arial" w:hAnsi="Arial"/>
          <w:sz w:val="32"/>
          <w:szCs w:val="32"/>
          <w:color w:val="1478A3"/>
          <w:vertAlign w:val="subscript"/>
        </w:rPr>
      </w:pPr>
    </w:p>
    <w:p>
      <w:pPr>
        <w:ind w:left="669"/>
        <w:spacing w:after="0"/>
        <w:rPr>
          <w:rFonts w:ascii="Arial" w:cs="Arial" w:eastAsia="Arial" w:hAnsi="Arial"/>
          <w:sz w:val="32"/>
          <w:szCs w:val="32"/>
          <w:color w:val="1478A3"/>
          <w:vertAlign w:val="subscript"/>
        </w:rPr>
      </w:pPr>
      <w:r>
        <w:rPr>
          <w:rFonts w:ascii="Arial" w:cs="Arial" w:eastAsia="Arial" w:hAnsi="Arial"/>
          <w:sz w:val="16"/>
          <w:szCs w:val="16"/>
          <w:color w:val="3E474E"/>
        </w:rPr>
        <w:t>Potential Payments Upon Termination or Change in</w:t>
      </w:r>
    </w:p>
    <w:p>
      <w:pPr>
        <w:spacing w:after="0" w:line="30" w:lineRule="exact"/>
        <w:rPr>
          <w:rFonts w:ascii="Arial" w:cs="Arial" w:eastAsia="Arial" w:hAnsi="Arial"/>
          <w:sz w:val="32"/>
          <w:szCs w:val="32"/>
          <w:color w:val="1478A3"/>
          <w:vertAlign w:val="subscript"/>
        </w:rPr>
      </w:pPr>
    </w:p>
    <w:p>
      <w:pPr>
        <w:ind w:left="729" w:hanging="729"/>
        <w:spacing w:after="0" w:line="184" w:lineRule="auto"/>
        <w:tabs>
          <w:tab w:leader="none" w:pos="729" w:val="left"/>
        </w:tabs>
        <w:numPr>
          <w:ilvl w:val="0"/>
          <w:numId w:val="19"/>
        </w:numPr>
        <w:rPr>
          <w:rFonts w:ascii="Arial" w:cs="Arial" w:eastAsia="Arial" w:hAnsi="Arial"/>
          <w:sz w:val="32"/>
          <w:szCs w:val="32"/>
          <w:color w:val="1478A3"/>
          <w:vertAlign w:val="subscript"/>
        </w:rPr>
      </w:pPr>
      <w:r>
        <w:rPr>
          <w:rFonts w:ascii="Arial" w:cs="Arial" w:eastAsia="Arial" w:hAnsi="Arial"/>
          <w:sz w:val="16"/>
          <w:szCs w:val="16"/>
          <w:color w:val="3E474E"/>
        </w:rPr>
        <w:t>Control</w:t>
      </w:r>
    </w:p>
    <w:p>
      <w:pPr>
        <w:ind w:left="669" w:hanging="669"/>
        <w:spacing w:after="0" w:line="221" w:lineRule="auto"/>
        <w:tabs>
          <w:tab w:leader="none" w:pos="669" w:val="left"/>
        </w:tabs>
        <w:numPr>
          <w:ilvl w:val="0"/>
          <w:numId w:val="20"/>
        </w:numPr>
        <w:rPr>
          <w:rFonts w:ascii="Arial" w:cs="Arial" w:eastAsia="Arial" w:hAnsi="Arial"/>
          <w:sz w:val="32"/>
          <w:szCs w:val="32"/>
          <w:color w:val="1478A3"/>
          <w:vertAlign w:val="subscript"/>
        </w:rPr>
      </w:pPr>
      <w:r>
        <w:rPr>
          <w:rFonts w:ascii="Arial" w:cs="Arial" w:eastAsia="Arial" w:hAnsi="Arial"/>
          <w:sz w:val="16"/>
          <w:szCs w:val="16"/>
          <w:color w:val="3E474E"/>
        </w:rPr>
        <w:t>CEO Pay Ratio</w:t>
      </w:r>
    </w:p>
    <w:p>
      <w:pPr>
        <w:ind w:left="669" w:hanging="669"/>
        <w:spacing w:after="0" w:line="220" w:lineRule="auto"/>
        <w:tabs>
          <w:tab w:leader="none" w:pos="669" w:val="left"/>
        </w:tabs>
        <w:numPr>
          <w:ilvl w:val="0"/>
          <w:numId w:val="21"/>
        </w:numPr>
        <w:rPr>
          <w:rFonts w:ascii="Arial" w:cs="Arial" w:eastAsia="Arial" w:hAnsi="Arial"/>
          <w:sz w:val="32"/>
          <w:szCs w:val="32"/>
          <w:color w:val="1478A3"/>
          <w:vertAlign w:val="subscript"/>
        </w:rPr>
      </w:pPr>
      <w:r>
        <w:rPr>
          <w:rFonts w:ascii="Arial" w:cs="Arial" w:eastAsia="Arial" w:hAnsi="Arial"/>
          <w:sz w:val="16"/>
          <w:szCs w:val="16"/>
          <w:color w:val="3E474E"/>
        </w:rPr>
        <w:t>Pay Versus Performance</w:t>
      </w:r>
    </w:p>
    <w:p>
      <w:pPr>
        <w:spacing w:after="0" w:line="145" w:lineRule="exact"/>
        <w:rPr>
          <w:rFonts w:ascii="Arial" w:cs="Arial" w:eastAsia="Arial" w:hAnsi="Arial"/>
          <w:sz w:val="32"/>
          <w:szCs w:val="32"/>
          <w:color w:val="1478A3"/>
          <w:vertAlign w:val="subscript"/>
        </w:rPr>
      </w:pPr>
    </w:p>
    <w:p>
      <w:pPr>
        <w:ind w:left="429" w:hanging="429"/>
        <w:spacing w:after="0"/>
        <w:tabs>
          <w:tab w:leader="none" w:pos="429" w:val="left"/>
        </w:tabs>
        <w:numPr>
          <w:ilvl w:val="0"/>
          <w:numId w:val="21"/>
        </w:numPr>
        <w:rPr>
          <w:rFonts w:ascii="Arial" w:cs="Arial" w:eastAsia="Arial" w:hAnsi="Arial"/>
          <w:sz w:val="16"/>
          <w:szCs w:val="16"/>
          <w:color w:val="1478A3"/>
        </w:rPr>
      </w:pPr>
      <w:r>
        <w:rPr>
          <w:rFonts w:ascii="Arial" w:cs="Arial" w:eastAsia="Arial" w:hAnsi="Arial"/>
          <w:sz w:val="18"/>
          <w:szCs w:val="18"/>
          <w:color w:val="1478A3"/>
        </w:rPr>
        <w:t>Principal Stockholders</w:t>
      </w:r>
    </w:p>
    <w:p>
      <w:pPr>
        <w:spacing w:after="0" w:line="131" w:lineRule="exact"/>
        <w:rPr>
          <w:sz w:val="20"/>
          <w:szCs w:val="20"/>
          <w:color w:val="auto"/>
        </w:rPr>
      </w:pPr>
    </w:p>
    <w:p>
      <w:pPr>
        <w:ind w:left="429" w:hanging="429"/>
        <w:spacing w:after="0"/>
        <w:tabs>
          <w:tab w:leader="none" w:pos="429" w:val="left"/>
        </w:tabs>
        <w:numPr>
          <w:ilvl w:val="0"/>
          <w:numId w:val="22"/>
        </w:numPr>
        <w:rPr>
          <w:rFonts w:ascii="Arial" w:cs="Arial" w:eastAsia="Arial" w:hAnsi="Arial"/>
          <w:sz w:val="16"/>
          <w:szCs w:val="16"/>
          <w:color w:val="1478A3"/>
        </w:rPr>
      </w:pPr>
      <w:r>
        <w:rPr>
          <w:rFonts w:ascii="Arial" w:cs="Arial" w:eastAsia="Arial" w:hAnsi="Arial"/>
          <w:sz w:val="18"/>
          <w:szCs w:val="18"/>
          <w:color w:val="1478A3"/>
        </w:rPr>
        <w:t>Other Matters</w:t>
      </w:r>
    </w:p>
    <w:p>
      <w:pPr>
        <w:ind w:left="669" w:hanging="669"/>
        <w:spacing w:after="0" w:line="210" w:lineRule="auto"/>
        <w:tabs>
          <w:tab w:leader="none" w:pos="669" w:val="left"/>
        </w:tabs>
        <w:numPr>
          <w:ilvl w:val="0"/>
          <w:numId w:val="23"/>
        </w:numPr>
        <w:rPr>
          <w:rFonts w:ascii="Arial" w:cs="Arial" w:eastAsia="Arial" w:hAnsi="Arial"/>
          <w:sz w:val="32"/>
          <w:szCs w:val="32"/>
          <w:color w:val="1478A3"/>
          <w:vertAlign w:val="subscript"/>
        </w:rPr>
      </w:pPr>
      <w:r>
        <w:rPr>
          <w:rFonts w:ascii="Arial" w:cs="Arial" w:eastAsia="Arial" w:hAnsi="Arial"/>
          <w:sz w:val="16"/>
          <w:szCs w:val="16"/>
          <w:color w:val="3E474E"/>
        </w:rPr>
        <w:t>Delinquent Section 16(a) Reports</w:t>
      </w:r>
    </w:p>
    <w:p>
      <w:pPr>
        <w:spacing w:after="0" w:line="254" w:lineRule="exact"/>
        <w:rPr>
          <w:sz w:val="20"/>
          <w:szCs w:val="20"/>
          <w:color w:val="auto"/>
        </w:rPr>
      </w:pPr>
    </w:p>
    <w:p>
      <w:pPr>
        <w:ind w:left="669" w:hanging="669"/>
        <w:spacing w:after="0"/>
        <w:tabs>
          <w:tab w:leader="none" w:pos="669" w:val="left"/>
        </w:tabs>
        <w:numPr>
          <w:ilvl w:val="0"/>
          <w:numId w:val="24"/>
        </w:numPr>
        <w:rPr>
          <w:rFonts w:ascii="Arial" w:cs="Arial" w:eastAsia="Arial" w:hAnsi="Arial"/>
          <w:sz w:val="32"/>
          <w:szCs w:val="32"/>
          <w:b w:val="1"/>
          <w:bCs w:val="1"/>
          <w:color w:val="1478A3"/>
          <w:vertAlign w:val="subscript"/>
        </w:rPr>
      </w:pPr>
      <w:r>
        <w:rPr>
          <w:rFonts w:ascii="Arial" w:cs="Arial" w:eastAsia="Arial" w:hAnsi="Arial"/>
          <w:sz w:val="16"/>
          <w:szCs w:val="16"/>
          <w:color w:val="3E474E"/>
        </w:rPr>
        <w:t>Other Matters to Come Before the 2026 Annual Meeting</w:t>
      </w:r>
    </w:p>
    <w:p>
      <w:pPr>
        <w:spacing w:after="0" w:line="123" w:lineRule="exact"/>
        <w:rPr>
          <w:sz w:val="20"/>
          <w:szCs w:val="20"/>
          <w:color w:val="auto"/>
        </w:rPr>
      </w:pPr>
    </w:p>
    <w:p>
      <w:pPr>
        <w:ind w:left="669"/>
        <w:spacing w:after="0"/>
        <w:rPr>
          <w:sz w:val="20"/>
          <w:szCs w:val="20"/>
          <w:color w:val="auto"/>
        </w:rPr>
      </w:pPr>
      <w:r>
        <w:rPr>
          <w:rFonts w:ascii="Arial" w:cs="Arial" w:eastAsia="Arial" w:hAnsi="Arial"/>
          <w:sz w:val="16"/>
          <w:szCs w:val="16"/>
          <w:color w:val="3E474E"/>
        </w:rPr>
        <w:t>Stockholder Proposals and Communication with the</w:t>
      </w:r>
    </w:p>
    <w:p>
      <w:pPr>
        <w:ind w:left="669" w:hanging="669"/>
        <w:spacing w:after="0" w:line="204" w:lineRule="auto"/>
        <w:tabs>
          <w:tab w:leader="none" w:pos="669" w:val="left"/>
        </w:tabs>
        <w:numPr>
          <w:ilvl w:val="0"/>
          <w:numId w:val="25"/>
        </w:numPr>
        <w:rPr>
          <w:rFonts w:ascii="Arial" w:cs="Arial" w:eastAsia="Arial" w:hAnsi="Arial"/>
          <w:sz w:val="32"/>
          <w:szCs w:val="32"/>
          <w:color w:val="1478A3"/>
          <w:vertAlign w:val="subscript"/>
        </w:rPr>
      </w:pPr>
      <w:r>
        <w:rPr>
          <w:rFonts w:ascii="Arial" w:cs="Arial" w:eastAsia="Arial" w:hAnsi="Arial"/>
          <w:sz w:val="16"/>
          <w:szCs w:val="16"/>
          <w:color w:val="3E474E"/>
        </w:rPr>
        <w:t>Board</w:t>
      </w:r>
    </w:p>
    <w:p>
      <w:pPr>
        <w:ind w:left="669" w:hanging="669"/>
        <w:spacing w:after="0" w:line="221" w:lineRule="auto"/>
        <w:tabs>
          <w:tab w:leader="none" w:pos="669" w:val="left"/>
        </w:tabs>
        <w:numPr>
          <w:ilvl w:val="0"/>
          <w:numId w:val="26"/>
        </w:numPr>
        <w:rPr>
          <w:rFonts w:ascii="Arial" w:cs="Arial" w:eastAsia="Arial" w:hAnsi="Arial"/>
          <w:sz w:val="32"/>
          <w:szCs w:val="32"/>
          <w:color w:val="1478A3"/>
          <w:vertAlign w:val="subscript"/>
        </w:rPr>
      </w:pPr>
      <w:r>
        <w:rPr>
          <w:rFonts w:ascii="Arial" w:cs="Arial" w:eastAsia="Arial" w:hAnsi="Arial"/>
          <w:sz w:val="16"/>
          <w:szCs w:val="16"/>
          <w:color w:val="3E474E"/>
        </w:rPr>
        <w:t>Proxy Access Procedures for the 2027 Annual Meeting</w:t>
      </w:r>
    </w:p>
    <w:p>
      <w:pPr>
        <w:spacing w:after="0" w:line="54" w:lineRule="exact"/>
        <w:rPr>
          <w:rFonts w:ascii="Arial" w:cs="Arial" w:eastAsia="Arial" w:hAnsi="Arial"/>
          <w:sz w:val="32"/>
          <w:szCs w:val="32"/>
          <w:color w:val="1478A3"/>
          <w:vertAlign w:val="subscript"/>
        </w:rPr>
      </w:pPr>
    </w:p>
    <w:p>
      <w:pPr>
        <w:ind w:left="669" w:hanging="669"/>
        <w:spacing w:after="0" w:line="184" w:lineRule="auto"/>
        <w:tabs>
          <w:tab w:leader="none" w:pos="669" w:val="left"/>
        </w:tabs>
        <w:numPr>
          <w:ilvl w:val="0"/>
          <w:numId w:val="26"/>
        </w:numPr>
        <w:rPr>
          <w:rFonts w:ascii="Arial" w:cs="Arial" w:eastAsia="Arial" w:hAnsi="Arial"/>
          <w:sz w:val="32"/>
          <w:szCs w:val="32"/>
          <w:color w:val="1478A3"/>
          <w:vertAlign w:val="subscript"/>
        </w:rPr>
      </w:pPr>
      <w:r>
        <w:rPr>
          <w:rFonts w:ascii="Arial" w:cs="Arial" w:eastAsia="Arial" w:hAnsi="Arial"/>
          <w:sz w:val="16"/>
          <w:szCs w:val="16"/>
          <w:color w:val="3E474E"/>
        </w:rPr>
        <w:t>Householding of Proxy Materials</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16"/>
          <w:szCs w:val="16"/>
          <w:color w:val="1478A3"/>
        </w:rPr>
        <w:t>29</w:t>
      </w:r>
    </w:p>
    <w:p>
      <w:pPr>
        <w:spacing w:after="0" w:line="127"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1478A3"/>
        </w:rPr>
        <w:t>30</w:t>
      </w:r>
    </w:p>
    <w:p>
      <w:pPr>
        <w:spacing w:after="0" w:line="154" w:lineRule="exact"/>
        <w:rPr>
          <w:sz w:val="20"/>
          <w:szCs w:val="20"/>
          <w:color w:val="auto"/>
        </w:rPr>
      </w:pPr>
    </w:p>
    <w:p>
      <w:pPr>
        <w:ind w:left="9"/>
        <w:spacing w:after="0"/>
        <w:rPr>
          <w:sz w:val="20"/>
          <w:szCs w:val="20"/>
          <w:color w:val="auto"/>
        </w:rPr>
      </w:pPr>
      <w:r>
        <w:rPr>
          <w:rFonts w:ascii="Arial" w:cs="Arial" w:eastAsia="Arial" w:hAnsi="Arial"/>
          <w:sz w:val="16"/>
          <w:szCs w:val="16"/>
          <w:color w:val="1478A3"/>
        </w:rPr>
        <w:t>30</w:t>
      </w:r>
    </w:p>
    <w:p>
      <w:pPr>
        <w:spacing w:after="0" w:line="154" w:lineRule="exact"/>
        <w:rPr>
          <w:sz w:val="20"/>
          <w:szCs w:val="20"/>
          <w:color w:val="auto"/>
        </w:rPr>
      </w:pPr>
    </w:p>
    <w:p>
      <w:pPr>
        <w:ind w:left="9"/>
        <w:spacing w:after="0"/>
        <w:rPr>
          <w:sz w:val="20"/>
          <w:szCs w:val="20"/>
          <w:color w:val="auto"/>
        </w:rPr>
      </w:pPr>
      <w:r>
        <w:rPr>
          <w:rFonts w:ascii="Arial" w:cs="Arial" w:eastAsia="Arial" w:hAnsi="Arial"/>
          <w:sz w:val="16"/>
          <w:szCs w:val="16"/>
          <w:color w:val="1478A3"/>
        </w:rPr>
        <w:t>30</w:t>
      </w:r>
    </w:p>
    <w:p>
      <w:pPr>
        <w:spacing w:after="0" w:line="154" w:lineRule="exact"/>
        <w:rPr>
          <w:sz w:val="20"/>
          <w:szCs w:val="20"/>
          <w:color w:val="auto"/>
        </w:rPr>
      </w:pPr>
    </w:p>
    <w:p>
      <w:pPr>
        <w:ind w:left="9"/>
        <w:spacing w:after="0"/>
        <w:rPr>
          <w:sz w:val="20"/>
          <w:szCs w:val="20"/>
          <w:color w:val="auto"/>
        </w:rPr>
      </w:pPr>
      <w:r>
        <w:rPr>
          <w:rFonts w:ascii="Arial" w:cs="Arial" w:eastAsia="Arial" w:hAnsi="Arial"/>
          <w:sz w:val="16"/>
          <w:szCs w:val="16"/>
          <w:color w:val="1478A3"/>
        </w:rPr>
        <w:t>30</w:t>
      </w:r>
    </w:p>
    <w:p>
      <w:pPr>
        <w:spacing w:after="0" w:line="127"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1478A3"/>
        </w:rPr>
        <w:t>31</w:t>
      </w:r>
    </w:p>
    <w:p>
      <w:pPr>
        <w:spacing w:after="0" w:line="154" w:lineRule="exact"/>
        <w:rPr>
          <w:sz w:val="20"/>
          <w:szCs w:val="20"/>
          <w:color w:val="auto"/>
        </w:rPr>
      </w:pPr>
    </w:p>
    <w:p>
      <w:pPr>
        <w:ind w:left="9"/>
        <w:spacing w:after="0"/>
        <w:rPr>
          <w:sz w:val="20"/>
          <w:szCs w:val="20"/>
          <w:color w:val="auto"/>
        </w:rPr>
      </w:pPr>
      <w:r>
        <w:rPr>
          <w:rFonts w:ascii="Arial" w:cs="Arial" w:eastAsia="Arial" w:hAnsi="Arial"/>
          <w:sz w:val="16"/>
          <w:szCs w:val="16"/>
          <w:color w:val="1478A3"/>
        </w:rPr>
        <w:t>31</w:t>
      </w:r>
    </w:p>
    <w:p>
      <w:pPr>
        <w:spacing w:after="0" w:line="154" w:lineRule="exact"/>
        <w:rPr>
          <w:sz w:val="20"/>
          <w:szCs w:val="20"/>
          <w:color w:val="auto"/>
        </w:rPr>
      </w:pPr>
    </w:p>
    <w:p>
      <w:pPr>
        <w:ind w:left="9"/>
        <w:spacing w:after="0"/>
        <w:rPr>
          <w:sz w:val="20"/>
          <w:szCs w:val="20"/>
          <w:color w:val="auto"/>
        </w:rPr>
      </w:pPr>
      <w:r>
        <w:rPr>
          <w:rFonts w:ascii="Arial" w:cs="Arial" w:eastAsia="Arial" w:hAnsi="Arial"/>
          <w:sz w:val="16"/>
          <w:szCs w:val="16"/>
          <w:color w:val="1478A3"/>
        </w:rPr>
        <w:t>32</w:t>
      </w:r>
    </w:p>
    <w:p>
      <w:pPr>
        <w:spacing w:after="0" w:line="154" w:lineRule="exact"/>
        <w:rPr>
          <w:sz w:val="20"/>
          <w:szCs w:val="20"/>
          <w:color w:val="auto"/>
        </w:rPr>
      </w:pPr>
    </w:p>
    <w:p>
      <w:pPr>
        <w:ind w:left="9"/>
        <w:spacing w:after="0"/>
        <w:rPr>
          <w:sz w:val="20"/>
          <w:szCs w:val="20"/>
          <w:color w:val="auto"/>
        </w:rPr>
      </w:pPr>
      <w:r>
        <w:rPr>
          <w:rFonts w:ascii="Arial" w:cs="Arial" w:eastAsia="Arial" w:hAnsi="Arial"/>
          <w:sz w:val="16"/>
          <w:szCs w:val="16"/>
          <w:color w:val="1478A3"/>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34</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35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1478A3"/>
        </w:rPr>
        <w:t>35</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37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1478A3"/>
        </w:rPr>
        <w:t>37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38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39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1478A3"/>
        </w:rPr>
        <w:t>40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49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49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50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50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52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52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53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55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55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60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1478A3"/>
        </w:rPr>
        <w:t>62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1478A3"/>
        </w:rPr>
        <w:t>62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1478A3"/>
        </w:rPr>
        <w:t>62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1478A3"/>
        </w:rPr>
        <w:t>62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1478A3"/>
        </w:rPr>
        <w:t>63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1478A3"/>
        </w:rPr>
        <w:t>63</w:t>
      </w:r>
    </w:p>
    <w:p>
      <w:pPr>
        <w:sectPr>
          <w:pgSz w:w="11900" w:h="16838" w:orient="portrait"/>
          <w:cols w:equalWidth="0" w:num="3">
            <w:col w:w="4660" w:space="311"/>
            <w:col w:w="4689" w:space="100"/>
            <w:col w:w="379"/>
          </w:cols>
          <w:pgMar w:left="320" w:top="1440" w:right="1440" w:bottom="672"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255905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Arial" w:cs="Arial" w:eastAsia="Arial" w:hAnsi="Arial"/>
          <w:sz w:val="14"/>
          <w:szCs w:val="14"/>
          <w:color w:val="747C83"/>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Proxy Summary</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1478A3"/>
        </w:rPr>
        <w:t>Logistics</w:t>
      </w:r>
    </w:p>
    <w:p>
      <w:pPr>
        <w:spacing w:after="0" w:line="124"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This summary highlights information that is contained elsewhere in this Proxy Statement. This summary does not contain all of the information that you should consider, and we encourage you to read this entire Proxy Statement carefully before voting. On or about April 30, 2026, we intend to make this Proxy Statement available online and to mail the Notice of Internet Availability of Proxy Materials (the "Notice") to all stockholders entitled to vote at the Annual Meeting.</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In this Proxy Statement, the “Company,” “we,” “our” and “us” refer to AH Realty Trust, Inc. (previously Armada Hoffler Properties, Inc.)</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1478A3"/>
        </w:rPr>
        <w:t>Voting Matters and Board Vote Recommendations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60" w:type="dxa"/>
            <w:vAlign w:val="bottom"/>
            <w:shd w:val="clear" w:color="auto" w:fill="E3EAEE"/>
          </w:tcPr>
          <w:p>
            <w:pPr>
              <w:jc w:val="center"/>
              <w:spacing w:after="0"/>
              <w:rPr>
                <w:sz w:val="20"/>
                <w:szCs w:val="20"/>
                <w:color w:val="auto"/>
              </w:rPr>
            </w:pPr>
            <w:r>
              <w:rPr>
                <w:rFonts w:ascii="Arial" w:cs="Arial" w:eastAsia="Arial" w:hAnsi="Arial"/>
                <w:sz w:val="16"/>
                <w:szCs w:val="16"/>
                <w:b w:val="1"/>
                <w:bCs w:val="1"/>
                <w:color w:val="1478A3"/>
              </w:rPr>
              <w:t>Proposal</w:t>
            </w:r>
          </w:p>
        </w:tc>
        <w:tc>
          <w:tcPr>
            <w:tcW w:w="4120" w:type="dxa"/>
            <w:vAlign w:val="bottom"/>
            <w:shd w:val="clear" w:color="auto" w:fill="E3EAEE"/>
          </w:tcPr>
          <w:p>
            <w:pPr>
              <w:ind w:left="340"/>
              <w:spacing w:after="0"/>
              <w:rPr>
                <w:sz w:val="20"/>
                <w:szCs w:val="20"/>
                <w:color w:val="auto"/>
              </w:rPr>
            </w:pPr>
            <w:r>
              <w:rPr>
                <w:rFonts w:ascii="Arial" w:cs="Arial" w:eastAsia="Arial" w:hAnsi="Arial"/>
                <w:sz w:val="16"/>
                <w:szCs w:val="16"/>
                <w:b w:val="1"/>
                <w:bCs w:val="1"/>
                <w:color w:val="1478A3"/>
              </w:rPr>
              <w:t>Agenda Item</w:t>
            </w:r>
          </w:p>
        </w:tc>
        <w:tc>
          <w:tcPr>
            <w:tcW w:w="3500" w:type="dxa"/>
            <w:vAlign w:val="bottom"/>
            <w:shd w:val="clear" w:color="auto" w:fill="E3EAEE"/>
          </w:tcPr>
          <w:p>
            <w:pPr>
              <w:jc w:val="center"/>
              <w:ind w:left="117"/>
              <w:spacing w:after="0"/>
              <w:rPr>
                <w:sz w:val="20"/>
                <w:szCs w:val="20"/>
                <w:color w:val="auto"/>
              </w:rPr>
            </w:pPr>
            <w:r>
              <w:rPr>
                <w:rFonts w:ascii="Arial" w:cs="Arial" w:eastAsia="Arial" w:hAnsi="Arial"/>
                <w:sz w:val="16"/>
                <w:szCs w:val="16"/>
                <w:b w:val="1"/>
                <w:bCs w:val="1"/>
                <w:color w:val="1478A3"/>
                <w:w w:val="99"/>
              </w:rPr>
              <w:t>Board Vote Recommendation</w:t>
            </w:r>
          </w:p>
        </w:tc>
        <w:tc>
          <w:tcPr>
            <w:tcW w:w="2160" w:type="dxa"/>
            <w:vAlign w:val="bottom"/>
            <w:gridSpan w:val="5"/>
            <w:shd w:val="clear" w:color="auto" w:fill="E3EAEE"/>
          </w:tcPr>
          <w:p>
            <w:pPr>
              <w:jc w:val="center"/>
              <w:spacing w:after="0"/>
              <w:rPr>
                <w:sz w:val="20"/>
                <w:szCs w:val="20"/>
                <w:color w:val="auto"/>
              </w:rPr>
            </w:pPr>
            <w:r>
              <w:rPr>
                <w:rFonts w:ascii="Arial" w:cs="Arial" w:eastAsia="Arial" w:hAnsi="Arial"/>
                <w:sz w:val="16"/>
                <w:szCs w:val="16"/>
                <w:b w:val="1"/>
                <w:bCs w:val="1"/>
                <w:color w:val="1478A3"/>
                <w:w w:val="99"/>
              </w:rPr>
              <w:t>Page Reference</w:t>
            </w:r>
          </w:p>
        </w:tc>
      </w:tr>
      <w:tr>
        <w:trPr>
          <w:trHeight w:val="270"/>
        </w:trPr>
        <w:tc>
          <w:tcPr>
            <w:tcW w:w="1460" w:type="dxa"/>
            <w:vAlign w:val="bottom"/>
          </w:tcPr>
          <w:p>
            <w:pPr>
              <w:jc w:val="center"/>
              <w:spacing w:after="0" w:line="263" w:lineRule="exact"/>
              <w:rPr>
                <w:sz w:val="20"/>
                <w:szCs w:val="20"/>
                <w:color w:val="auto"/>
              </w:rPr>
            </w:pPr>
            <w:r>
              <w:rPr>
                <w:rFonts w:ascii="Arial" w:cs="Arial" w:eastAsia="Arial" w:hAnsi="Arial"/>
                <w:sz w:val="29"/>
                <w:szCs w:val="29"/>
                <w:b w:val="1"/>
                <w:bCs w:val="1"/>
                <w:color w:val="1478A3"/>
                <w:w w:val="98"/>
              </w:rPr>
              <w:t>1</w:t>
            </w:r>
          </w:p>
        </w:tc>
        <w:tc>
          <w:tcPr>
            <w:tcW w:w="4120" w:type="dxa"/>
            <w:vAlign w:val="bottom"/>
          </w:tcPr>
          <w:p>
            <w:pPr>
              <w:ind w:left="340"/>
              <w:spacing w:after="0"/>
              <w:rPr>
                <w:sz w:val="20"/>
                <w:szCs w:val="20"/>
                <w:color w:val="auto"/>
              </w:rPr>
            </w:pPr>
            <w:r>
              <w:rPr>
                <w:rFonts w:ascii="Arial" w:cs="Arial" w:eastAsia="Arial" w:hAnsi="Arial"/>
                <w:sz w:val="16"/>
                <w:szCs w:val="16"/>
                <w:color w:val="3E474E"/>
              </w:rPr>
              <w:t>Election of Directors</w:t>
            </w:r>
          </w:p>
        </w:tc>
        <w:tc>
          <w:tcPr>
            <w:tcW w:w="3500" w:type="dxa"/>
            <w:vAlign w:val="bottom"/>
          </w:tcPr>
          <w:p>
            <w:pPr>
              <w:jc w:val="center"/>
              <w:ind w:left="117"/>
              <w:spacing w:after="0"/>
              <w:rPr>
                <w:sz w:val="20"/>
                <w:szCs w:val="20"/>
                <w:color w:val="auto"/>
              </w:rPr>
            </w:pPr>
            <w:r>
              <w:rPr>
                <w:rFonts w:ascii="Arial" w:cs="Arial" w:eastAsia="Arial" w:hAnsi="Arial"/>
                <w:sz w:val="22"/>
                <w:szCs w:val="22"/>
                <w:b w:val="1"/>
                <w:bCs w:val="1"/>
                <w:color w:val="1478A3"/>
                <w:w w:val="94"/>
              </w:rPr>
              <w:t>FOR</w:t>
            </w: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w w:val="89"/>
              </w:rPr>
              <w:t>9</w:t>
            </w: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15"/>
        </w:trPr>
        <w:tc>
          <w:tcPr>
            <w:tcW w:w="146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70"/>
        </w:trPr>
        <w:tc>
          <w:tcPr>
            <w:tcW w:w="1460" w:type="dxa"/>
            <w:vAlign w:val="bottom"/>
            <w:tcBorders>
              <w:bottom w:val="single" w:sz="8" w:color="E3EAEE"/>
            </w:tcBorders>
            <w:shd w:val="clear" w:color="auto" w:fill="E3EAEE"/>
          </w:tcPr>
          <w:p>
            <w:pPr>
              <w:jc w:val="center"/>
              <w:spacing w:after="0" w:line="263" w:lineRule="exact"/>
              <w:rPr>
                <w:sz w:val="20"/>
                <w:szCs w:val="20"/>
                <w:color w:val="auto"/>
              </w:rPr>
            </w:pPr>
            <w:r>
              <w:rPr>
                <w:rFonts w:ascii="Arial" w:cs="Arial" w:eastAsia="Arial" w:hAnsi="Arial"/>
                <w:sz w:val="29"/>
                <w:szCs w:val="29"/>
                <w:b w:val="1"/>
                <w:bCs w:val="1"/>
                <w:color w:val="1478A3"/>
                <w:w w:val="98"/>
              </w:rPr>
              <w:t>2</w:t>
            </w:r>
          </w:p>
        </w:tc>
        <w:tc>
          <w:tcPr>
            <w:tcW w:w="4120" w:type="dxa"/>
            <w:vAlign w:val="bottom"/>
            <w:tcBorders>
              <w:bottom w:val="single" w:sz="8" w:color="E3EAEE"/>
            </w:tcBorders>
            <w:shd w:val="clear" w:color="auto" w:fill="E3EAEE"/>
          </w:tcPr>
          <w:p>
            <w:pPr>
              <w:ind w:left="340"/>
              <w:spacing w:after="0"/>
              <w:rPr>
                <w:sz w:val="20"/>
                <w:szCs w:val="20"/>
                <w:color w:val="auto"/>
              </w:rPr>
            </w:pPr>
            <w:r>
              <w:rPr>
                <w:rFonts w:ascii="Arial" w:cs="Arial" w:eastAsia="Arial" w:hAnsi="Arial"/>
                <w:sz w:val="16"/>
                <w:szCs w:val="16"/>
                <w:color w:val="3E474E"/>
              </w:rPr>
              <w:t>Ratification of KPMG LLP</w:t>
            </w:r>
          </w:p>
        </w:tc>
        <w:tc>
          <w:tcPr>
            <w:tcW w:w="3500" w:type="dxa"/>
            <w:vAlign w:val="bottom"/>
            <w:tcBorders>
              <w:bottom w:val="single" w:sz="8" w:color="E3EAEE"/>
            </w:tcBorders>
            <w:shd w:val="clear" w:color="auto" w:fill="E3EAEE"/>
          </w:tcPr>
          <w:p>
            <w:pPr>
              <w:jc w:val="center"/>
              <w:ind w:left="117"/>
              <w:spacing w:after="0"/>
              <w:rPr>
                <w:sz w:val="20"/>
                <w:szCs w:val="20"/>
                <w:color w:val="auto"/>
              </w:rPr>
            </w:pPr>
            <w:r>
              <w:rPr>
                <w:rFonts w:ascii="Arial" w:cs="Arial" w:eastAsia="Arial" w:hAnsi="Arial"/>
                <w:sz w:val="22"/>
                <w:szCs w:val="22"/>
                <w:b w:val="1"/>
                <w:bCs w:val="1"/>
                <w:color w:val="1478A3"/>
                <w:w w:val="94"/>
              </w:rPr>
              <w:t>FOR</w:t>
            </w:r>
          </w:p>
        </w:tc>
        <w:tc>
          <w:tcPr>
            <w:tcW w:w="1040" w:type="dxa"/>
            <w:vAlign w:val="bottom"/>
            <w:tcBorders>
              <w:bottom w:val="single" w:sz="8" w:color="E3EAEE"/>
            </w:tcBorders>
            <w:shd w:val="clear" w:color="auto" w:fill="E3EAEE"/>
          </w:tcPr>
          <w:p>
            <w:pPr>
              <w:spacing w:after="0"/>
              <w:rPr>
                <w:sz w:val="23"/>
                <w:szCs w:val="23"/>
                <w:color w:val="auto"/>
              </w:rPr>
            </w:pPr>
          </w:p>
        </w:tc>
        <w:tc>
          <w:tcPr>
            <w:tcW w:w="180" w:type="dxa"/>
            <w:vAlign w:val="bottom"/>
            <w:tcBorders>
              <w:bottom w:val="single" w:sz="8" w:color="0000FF"/>
            </w:tcBorders>
            <w:gridSpan w:val="3"/>
            <w:shd w:val="clear" w:color="auto" w:fill="E3EAEE"/>
          </w:tcPr>
          <w:p>
            <w:pPr>
              <w:jc w:val="center"/>
              <w:spacing w:after="0"/>
              <w:rPr>
                <w:sz w:val="20"/>
                <w:szCs w:val="20"/>
                <w:color w:val="auto"/>
              </w:rPr>
            </w:pPr>
            <w:r>
              <w:rPr>
                <w:rFonts w:ascii="Arial" w:cs="Arial" w:eastAsia="Arial" w:hAnsi="Arial"/>
                <w:sz w:val="16"/>
                <w:szCs w:val="16"/>
                <w:color w:val="0000FF"/>
              </w:rPr>
              <w:t>35</w:t>
            </w:r>
          </w:p>
        </w:tc>
        <w:tc>
          <w:tcPr>
            <w:tcW w:w="940" w:type="dxa"/>
            <w:vAlign w:val="bottom"/>
            <w:tcBorders>
              <w:bottom w:val="single" w:sz="8" w:color="E3EAEE"/>
            </w:tcBorders>
            <w:shd w:val="clear" w:color="auto" w:fill="E3EAEE"/>
          </w:tcPr>
          <w:p>
            <w:pPr>
              <w:spacing w:after="0"/>
              <w:rPr>
                <w:sz w:val="23"/>
                <w:szCs w:val="23"/>
                <w:color w:val="auto"/>
              </w:rPr>
            </w:pPr>
          </w:p>
        </w:tc>
      </w:tr>
      <w:tr>
        <w:trPr>
          <w:trHeight w:val="115"/>
        </w:trPr>
        <w:tc>
          <w:tcPr>
            <w:tcW w:w="1460" w:type="dxa"/>
            <w:vAlign w:val="bottom"/>
            <w:shd w:val="clear" w:color="auto" w:fill="E3EAEE"/>
          </w:tcPr>
          <w:p>
            <w:pPr>
              <w:spacing w:after="0"/>
              <w:rPr>
                <w:sz w:val="10"/>
                <w:szCs w:val="10"/>
                <w:color w:val="auto"/>
              </w:rPr>
            </w:pPr>
          </w:p>
        </w:tc>
        <w:tc>
          <w:tcPr>
            <w:tcW w:w="4120" w:type="dxa"/>
            <w:vAlign w:val="bottom"/>
            <w:shd w:val="clear" w:color="auto" w:fill="E3EAEE"/>
          </w:tcPr>
          <w:p>
            <w:pPr>
              <w:spacing w:after="0"/>
              <w:rPr>
                <w:sz w:val="10"/>
                <w:szCs w:val="10"/>
                <w:color w:val="auto"/>
              </w:rPr>
            </w:pPr>
          </w:p>
        </w:tc>
        <w:tc>
          <w:tcPr>
            <w:tcW w:w="3500" w:type="dxa"/>
            <w:vAlign w:val="bottom"/>
            <w:shd w:val="clear" w:color="auto" w:fill="E3EAEE"/>
          </w:tcPr>
          <w:p>
            <w:pPr>
              <w:spacing w:after="0"/>
              <w:rPr>
                <w:sz w:val="10"/>
                <w:szCs w:val="10"/>
                <w:color w:val="auto"/>
              </w:rPr>
            </w:pPr>
          </w:p>
        </w:tc>
        <w:tc>
          <w:tcPr>
            <w:tcW w:w="1040" w:type="dxa"/>
            <w:vAlign w:val="bottom"/>
            <w:shd w:val="clear" w:color="auto" w:fill="E3EAEE"/>
          </w:tcPr>
          <w:p>
            <w:pPr>
              <w:spacing w:after="0"/>
              <w:rPr>
                <w:sz w:val="10"/>
                <w:szCs w:val="10"/>
                <w:color w:val="auto"/>
              </w:rPr>
            </w:pPr>
          </w:p>
        </w:tc>
        <w:tc>
          <w:tcPr>
            <w:tcW w:w="40" w:type="dxa"/>
            <w:vAlign w:val="bottom"/>
            <w:shd w:val="clear" w:color="auto" w:fill="E3EAEE"/>
          </w:tcPr>
          <w:p>
            <w:pPr>
              <w:spacing w:after="0"/>
              <w:rPr>
                <w:sz w:val="10"/>
                <w:szCs w:val="10"/>
                <w:color w:val="auto"/>
              </w:rPr>
            </w:pPr>
          </w:p>
        </w:tc>
        <w:tc>
          <w:tcPr>
            <w:tcW w:w="80" w:type="dxa"/>
            <w:vAlign w:val="bottom"/>
            <w:shd w:val="clear" w:color="auto" w:fill="E3EAEE"/>
          </w:tcPr>
          <w:p>
            <w:pPr>
              <w:spacing w:after="0"/>
              <w:rPr>
                <w:sz w:val="10"/>
                <w:szCs w:val="10"/>
                <w:color w:val="auto"/>
              </w:rPr>
            </w:pPr>
          </w:p>
        </w:tc>
        <w:tc>
          <w:tcPr>
            <w:tcW w:w="60" w:type="dxa"/>
            <w:vAlign w:val="bottom"/>
            <w:shd w:val="clear" w:color="auto" w:fill="E3EAEE"/>
          </w:tcPr>
          <w:p>
            <w:pPr>
              <w:spacing w:after="0"/>
              <w:rPr>
                <w:sz w:val="10"/>
                <w:szCs w:val="10"/>
                <w:color w:val="auto"/>
              </w:rPr>
            </w:pPr>
          </w:p>
        </w:tc>
        <w:tc>
          <w:tcPr>
            <w:tcW w:w="940" w:type="dxa"/>
            <w:vAlign w:val="bottom"/>
            <w:shd w:val="clear" w:color="auto" w:fill="E3EAEE"/>
          </w:tcPr>
          <w:p>
            <w:pPr>
              <w:spacing w:after="0"/>
              <w:rPr>
                <w:sz w:val="10"/>
                <w:szCs w:val="10"/>
                <w:color w:val="auto"/>
              </w:rPr>
            </w:pPr>
          </w:p>
        </w:tc>
      </w:tr>
      <w:tr>
        <w:trPr>
          <w:trHeight w:val="270"/>
        </w:trPr>
        <w:tc>
          <w:tcPr>
            <w:tcW w:w="1460" w:type="dxa"/>
            <w:vAlign w:val="bottom"/>
          </w:tcPr>
          <w:p>
            <w:pPr>
              <w:jc w:val="center"/>
              <w:spacing w:after="0" w:line="263" w:lineRule="exact"/>
              <w:rPr>
                <w:sz w:val="20"/>
                <w:szCs w:val="20"/>
                <w:color w:val="auto"/>
              </w:rPr>
            </w:pPr>
            <w:r>
              <w:rPr>
                <w:rFonts w:ascii="Arial" w:cs="Arial" w:eastAsia="Arial" w:hAnsi="Arial"/>
                <w:sz w:val="29"/>
                <w:szCs w:val="29"/>
                <w:b w:val="1"/>
                <w:bCs w:val="1"/>
                <w:color w:val="1478A3"/>
                <w:w w:val="98"/>
              </w:rPr>
              <w:t>3</w:t>
            </w:r>
          </w:p>
        </w:tc>
        <w:tc>
          <w:tcPr>
            <w:tcW w:w="4120" w:type="dxa"/>
            <w:vAlign w:val="bottom"/>
          </w:tcPr>
          <w:p>
            <w:pPr>
              <w:ind w:left="340"/>
              <w:spacing w:after="0"/>
              <w:rPr>
                <w:sz w:val="20"/>
                <w:szCs w:val="20"/>
                <w:color w:val="auto"/>
              </w:rPr>
            </w:pPr>
            <w:r>
              <w:rPr>
                <w:rFonts w:ascii="Arial" w:cs="Arial" w:eastAsia="Arial" w:hAnsi="Arial"/>
                <w:sz w:val="16"/>
                <w:szCs w:val="16"/>
                <w:color w:val="3E474E"/>
              </w:rPr>
              <w:t>Advisory Vote on Executive Compensation</w:t>
            </w:r>
          </w:p>
        </w:tc>
        <w:tc>
          <w:tcPr>
            <w:tcW w:w="3500" w:type="dxa"/>
            <w:vAlign w:val="bottom"/>
          </w:tcPr>
          <w:p>
            <w:pPr>
              <w:jc w:val="center"/>
              <w:ind w:left="117"/>
              <w:spacing w:after="0"/>
              <w:rPr>
                <w:sz w:val="20"/>
                <w:szCs w:val="20"/>
                <w:color w:val="auto"/>
              </w:rPr>
            </w:pPr>
            <w:r>
              <w:rPr>
                <w:rFonts w:ascii="Arial" w:cs="Arial" w:eastAsia="Arial" w:hAnsi="Arial"/>
                <w:sz w:val="22"/>
                <w:szCs w:val="22"/>
                <w:b w:val="1"/>
                <w:bCs w:val="1"/>
                <w:color w:val="1478A3"/>
                <w:w w:val="94"/>
              </w:rPr>
              <w:t>FOR</w:t>
            </w:r>
          </w:p>
        </w:tc>
        <w:tc>
          <w:tcPr>
            <w:tcW w:w="1040" w:type="dxa"/>
            <w:vAlign w:val="bottom"/>
          </w:tcPr>
          <w:p>
            <w:pPr>
              <w:spacing w:after="0"/>
              <w:rPr>
                <w:sz w:val="23"/>
                <w:szCs w:val="23"/>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37</w:t>
            </w:r>
          </w:p>
        </w:tc>
        <w:tc>
          <w:tcPr>
            <w:tcW w:w="940" w:type="dxa"/>
            <w:vAlign w:val="bottom"/>
          </w:tcPr>
          <w:p>
            <w:pPr>
              <w:spacing w:after="0"/>
              <w:rPr>
                <w:sz w:val="23"/>
                <w:szCs w:val="23"/>
                <w:color w:val="auto"/>
              </w:rPr>
            </w:pPr>
          </w:p>
        </w:tc>
      </w:tr>
      <w:tr>
        <w:trPr>
          <w:trHeight w:val="115"/>
        </w:trPr>
        <w:tc>
          <w:tcPr>
            <w:tcW w:w="146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70"/>
        </w:trPr>
        <w:tc>
          <w:tcPr>
            <w:tcW w:w="1460" w:type="dxa"/>
            <w:vAlign w:val="bottom"/>
            <w:tcBorders>
              <w:bottom w:val="single" w:sz="8" w:color="E3EAEE"/>
            </w:tcBorders>
            <w:shd w:val="clear" w:color="auto" w:fill="E3EAEE"/>
          </w:tcPr>
          <w:p>
            <w:pPr>
              <w:jc w:val="center"/>
              <w:spacing w:after="0" w:line="263" w:lineRule="exact"/>
              <w:rPr>
                <w:sz w:val="20"/>
                <w:szCs w:val="20"/>
                <w:color w:val="auto"/>
              </w:rPr>
            </w:pPr>
            <w:r>
              <w:rPr>
                <w:rFonts w:ascii="Arial" w:cs="Arial" w:eastAsia="Arial" w:hAnsi="Arial"/>
                <w:sz w:val="29"/>
                <w:szCs w:val="29"/>
                <w:b w:val="1"/>
                <w:bCs w:val="1"/>
                <w:color w:val="1478A3"/>
                <w:w w:val="98"/>
              </w:rPr>
              <w:t>4</w:t>
            </w:r>
          </w:p>
        </w:tc>
        <w:tc>
          <w:tcPr>
            <w:tcW w:w="4120" w:type="dxa"/>
            <w:vAlign w:val="bottom"/>
            <w:tcBorders>
              <w:bottom w:val="single" w:sz="8" w:color="E3EAEE"/>
            </w:tcBorders>
            <w:shd w:val="clear" w:color="auto" w:fill="E3EAEE"/>
          </w:tcPr>
          <w:p>
            <w:pPr>
              <w:ind w:left="340"/>
              <w:spacing w:after="0"/>
              <w:rPr>
                <w:sz w:val="20"/>
                <w:szCs w:val="20"/>
                <w:color w:val="auto"/>
              </w:rPr>
            </w:pPr>
            <w:r>
              <w:rPr>
                <w:rFonts w:ascii="Arial" w:cs="Arial" w:eastAsia="Arial" w:hAnsi="Arial"/>
                <w:sz w:val="16"/>
                <w:szCs w:val="16"/>
                <w:color w:val="3E474E"/>
              </w:rPr>
              <w:t>Any other business</w:t>
            </w:r>
          </w:p>
        </w:tc>
        <w:tc>
          <w:tcPr>
            <w:tcW w:w="3500" w:type="dxa"/>
            <w:vAlign w:val="bottom"/>
            <w:tcBorders>
              <w:bottom w:val="single" w:sz="8" w:color="E3EAEE"/>
            </w:tcBorders>
            <w:shd w:val="clear" w:color="auto" w:fill="E3EAEE"/>
          </w:tcPr>
          <w:p>
            <w:pPr>
              <w:jc w:val="center"/>
              <w:ind w:left="117"/>
              <w:spacing w:after="0"/>
              <w:rPr>
                <w:sz w:val="20"/>
                <w:szCs w:val="20"/>
                <w:color w:val="auto"/>
              </w:rPr>
            </w:pPr>
            <w:r>
              <w:rPr>
                <w:rFonts w:ascii="Arial" w:cs="Arial" w:eastAsia="Arial" w:hAnsi="Arial"/>
                <w:sz w:val="22"/>
                <w:szCs w:val="22"/>
                <w:b w:val="1"/>
                <w:bCs w:val="1"/>
                <w:color w:val="1478A3"/>
                <w:w w:val="94"/>
              </w:rPr>
              <w:t>FOR</w:t>
            </w:r>
          </w:p>
        </w:tc>
        <w:tc>
          <w:tcPr>
            <w:tcW w:w="1040" w:type="dxa"/>
            <w:vAlign w:val="bottom"/>
            <w:tcBorders>
              <w:bottom w:val="single" w:sz="8" w:color="E3EAEE"/>
            </w:tcBorders>
            <w:shd w:val="clear" w:color="auto" w:fill="E3EAEE"/>
          </w:tcPr>
          <w:p>
            <w:pPr>
              <w:spacing w:after="0"/>
              <w:rPr>
                <w:sz w:val="23"/>
                <w:szCs w:val="23"/>
                <w:color w:val="auto"/>
              </w:rPr>
            </w:pPr>
          </w:p>
        </w:tc>
        <w:tc>
          <w:tcPr>
            <w:tcW w:w="180" w:type="dxa"/>
            <w:vAlign w:val="bottom"/>
            <w:tcBorders>
              <w:bottom w:val="single" w:sz="8" w:color="0000FF"/>
            </w:tcBorders>
            <w:gridSpan w:val="3"/>
            <w:shd w:val="clear" w:color="auto" w:fill="E3EAEE"/>
          </w:tcPr>
          <w:p>
            <w:pPr>
              <w:jc w:val="center"/>
              <w:spacing w:after="0"/>
              <w:rPr>
                <w:sz w:val="20"/>
                <w:szCs w:val="20"/>
                <w:color w:val="auto"/>
              </w:rPr>
            </w:pPr>
            <w:r>
              <w:rPr>
                <w:rFonts w:ascii="Arial" w:cs="Arial" w:eastAsia="Arial" w:hAnsi="Arial"/>
                <w:sz w:val="16"/>
                <w:szCs w:val="16"/>
                <w:color w:val="0000FF"/>
              </w:rPr>
              <w:t>62</w:t>
            </w:r>
          </w:p>
        </w:tc>
        <w:tc>
          <w:tcPr>
            <w:tcW w:w="940" w:type="dxa"/>
            <w:vAlign w:val="bottom"/>
            <w:tcBorders>
              <w:bottom w:val="single" w:sz="8" w:color="E3EAEE"/>
            </w:tcBorders>
            <w:shd w:val="clear" w:color="auto" w:fill="E3EAEE"/>
          </w:tcPr>
          <w:p>
            <w:pPr>
              <w:spacing w:after="0"/>
              <w:rPr>
                <w:sz w:val="23"/>
                <w:szCs w:val="23"/>
                <w:color w:val="auto"/>
              </w:rPr>
            </w:pPr>
          </w:p>
        </w:tc>
      </w:tr>
      <w:tr>
        <w:trPr>
          <w:trHeight w:val="115"/>
        </w:trPr>
        <w:tc>
          <w:tcPr>
            <w:tcW w:w="1460" w:type="dxa"/>
            <w:vAlign w:val="bottom"/>
            <w:shd w:val="clear" w:color="auto" w:fill="E3EAEE"/>
          </w:tcPr>
          <w:p>
            <w:pPr>
              <w:spacing w:after="0"/>
              <w:rPr>
                <w:sz w:val="10"/>
                <w:szCs w:val="10"/>
                <w:color w:val="auto"/>
              </w:rPr>
            </w:pPr>
          </w:p>
        </w:tc>
        <w:tc>
          <w:tcPr>
            <w:tcW w:w="4120" w:type="dxa"/>
            <w:vAlign w:val="bottom"/>
            <w:shd w:val="clear" w:color="auto" w:fill="E3EAEE"/>
          </w:tcPr>
          <w:p>
            <w:pPr>
              <w:spacing w:after="0"/>
              <w:rPr>
                <w:sz w:val="10"/>
                <w:szCs w:val="10"/>
                <w:color w:val="auto"/>
              </w:rPr>
            </w:pPr>
          </w:p>
        </w:tc>
        <w:tc>
          <w:tcPr>
            <w:tcW w:w="3500" w:type="dxa"/>
            <w:vAlign w:val="bottom"/>
            <w:shd w:val="clear" w:color="auto" w:fill="E3EAEE"/>
          </w:tcPr>
          <w:p>
            <w:pPr>
              <w:spacing w:after="0"/>
              <w:rPr>
                <w:sz w:val="10"/>
                <w:szCs w:val="10"/>
                <w:color w:val="auto"/>
              </w:rPr>
            </w:pPr>
          </w:p>
        </w:tc>
        <w:tc>
          <w:tcPr>
            <w:tcW w:w="1040" w:type="dxa"/>
            <w:vAlign w:val="bottom"/>
            <w:shd w:val="clear" w:color="auto" w:fill="E3EAEE"/>
          </w:tcPr>
          <w:p>
            <w:pPr>
              <w:spacing w:after="0"/>
              <w:rPr>
                <w:sz w:val="10"/>
                <w:szCs w:val="10"/>
                <w:color w:val="auto"/>
              </w:rPr>
            </w:pPr>
          </w:p>
        </w:tc>
        <w:tc>
          <w:tcPr>
            <w:tcW w:w="40" w:type="dxa"/>
            <w:vAlign w:val="bottom"/>
            <w:shd w:val="clear" w:color="auto" w:fill="E3EAEE"/>
          </w:tcPr>
          <w:p>
            <w:pPr>
              <w:spacing w:after="0"/>
              <w:rPr>
                <w:sz w:val="10"/>
                <w:szCs w:val="10"/>
                <w:color w:val="auto"/>
              </w:rPr>
            </w:pPr>
          </w:p>
        </w:tc>
        <w:tc>
          <w:tcPr>
            <w:tcW w:w="80" w:type="dxa"/>
            <w:vAlign w:val="bottom"/>
            <w:shd w:val="clear" w:color="auto" w:fill="E3EAEE"/>
          </w:tcPr>
          <w:p>
            <w:pPr>
              <w:spacing w:after="0"/>
              <w:rPr>
                <w:sz w:val="10"/>
                <w:szCs w:val="10"/>
                <w:color w:val="auto"/>
              </w:rPr>
            </w:pPr>
          </w:p>
        </w:tc>
        <w:tc>
          <w:tcPr>
            <w:tcW w:w="60" w:type="dxa"/>
            <w:vAlign w:val="bottom"/>
            <w:shd w:val="clear" w:color="auto" w:fill="E3EAEE"/>
          </w:tcPr>
          <w:p>
            <w:pPr>
              <w:spacing w:after="0"/>
              <w:rPr>
                <w:sz w:val="10"/>
                <w:szCs w:val="10"/>
                <w:color w:val="auto"/>
              </w:rPr>
            </w:pPr>
          </w:p>
        </w:tc>
        <w:tc>
          <w:tcPr>
            <w:tcW w:w="940" w:type="dxa"/>
            <w:vAlign w:val="bottom"/>
            <w:shd w:val="clear" w:color="auto" w:fill="E3EAEE"/>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308"/>
              <w:spacing w:after="0"/>
              <w:rPr>
                <w:sz w:val="20"/>
                <w:szCs w:val="20"/>
                <w:color w:val="auto"/>
              </w:rPr>
            </w:pPr>
            <w:r>
              <w:rPr>
                <w:rFonts w:ascii="Arial" w:cs="Arial" w:eastAsia="Arial" w:hAnsi="Arial"/>
                <w:sz w:val="14"/>
                <w:szCs w:val="14"/>
                <w:color w:val="747C83"/>
              </w:rPr>
              <w:t>1</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747C83"/>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478A3"/>
        </w:rPr>
        <w:t>About AH Realty Trust</w:t>
      </w:r>
    </w:p>
    <w:p>
      <w:pPr>
        <w:spacing w:after="0" w:line="56"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3E474E"/>
        </w:rPr>
        <w:t>AH Realty Trust is a real estate investment trust (“REIT”) with over four decades of experience. The Company owns and operates high-quality retail and office assets located primarily in the Mid-Atlantic and Southeastern United States. AH Realty Trust focuses on disciplined capital allocation and long-term value creation for stockholders.</w:t>
      </w:r>
    </w:p>
    <w:p>
      <w:pPr>
        <w:spacing w:after="0" w:line="155" w:lineRule="exact"/>
        <w:rPr>
          <w:sz w:val="20"/>
          <w:szCs w:val="20"/>
          <w:color w:val="auto"/>
        </w:rPr>
      </w:pPr>
    </w:p>
    <w:p>
      <w:pPr>
        <w:ind w:right="20"/>
        <w:spacing w:after="0" w:line="211" w:lineRule="exact"/>
        <w:rPr>
          <w:sz w:val="20"/>
          <w:szCs w:val="20"/>
          <w:color w:val="auto"/>
        </w:rPr>
      </w:pPr>
      <w:r>
        <w:rPr>
          <w:rFonts w:ascii="Arial" w:cs="Arial" w:eastAsia="Arial" w:hAnsi="Arial"/>
          <w:sz w:val="16"/>
          <w:szCs w:val="16"/>
          <w:color w:val="3E474E"/>
        </w:rPr>
        <w:t>In February 2026, the Company announced a strategic corporate rebranding to better reflect the long</w:t>
      </w:r>
      <w:r>
        <w:rPr>
          <w:rFonts w:ascii="MS PGothic" w:cs="MS PGothic" w:eastAsia="MS PGothic" w:hAnsi="MS PGothic"/>
          <w:sz w:val="16"/>
          <w:szCs w:val="16"/>
          <w:color w:val="3E474E"/>
        </w:rPr>
        <w:t>‑</w:t>
      </w:r>
      <w:r>
        <w:rPr>
          <w:rFonts w:ascii="Arial" w:cs="Arial" w:eastAsia="Arial" w:hAnsi="Arial"/>
          <w:sz w:val="16"/>
          <w:szCs w:val="16"/>
          <w:color w:val="3E474E"/>
        </w:rPr>
        <w:t>term vision. As part of this initiative, the Company adopted the new corporate name AH Realty Trust and transitioned our New York Stock Exchange ticker symbol from AHH to AHRT. This repositioning aligns the Company's identity more closely with its core strengths in real estate ownership and operations, while supporting clearer market recognition and engagement with investors.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1478A3"/>
        </w:rPr>
        <w:t>2025 Business Highlights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3E474E"/>
        </w:rPr>
        <w:t>Some of the business highlights include the following:</w:t>
      </w:r>
    </w:p>
    <w:p>
      <w:pPr>
        <w:spacing w:after="0" w:line="200" w:lineRule="exact"/>
        <w:rPr>
          <w:sz w:val="20"/>
          <w:szCs w:val="20"/>
          <w:color w:val="auto"/>
        </w:rPr>
      </w:pPr>
    </w:p>
    <w:p>
      <w:pPr>
        <w:spacing w:after="0" w:line="383" w:lineRule="exact"/>
        <w:rPr>
          <w:sz w:val="20"/>
          <w:szCs w:val="20"/>
          <w:color w:val="auto"/>
        </w:rPr>
      </w:pPr>
    </w:p>
    <w:tbl>
      <w:tblPr>
        <w:tblLayout w:type="fixed"/>
        <w:tblInd w:w="1120" w:type="dxa"/>
        <w:tblCellMar>
          <w:top w:w="0" w:type="dxa"/>
          <w:left w:w="0" w:type="dxa"/>
          <w:bottom w:w="0" w:type="dxa"/>
          <w:right w:w="0" w:type="dxa"/>
        </w:tblCellMar>
      </w:tblPr>
      <w:tr>
        <w:trPr>
          <w:trHeight w:val="730"/>
        </w:trPr>
        <w:tc>
          <w:tcPr>
            <w:tcW w:w="3000" w:type="dxa"/>
            <w:vAlign w:val="bottom"/>
          </w:tcPr>
          <w:p>
            <w:pPr>
              <w:jc w:val="right"/>
              <w:ind w:right="48"/>
              <w:spacing w:after="0"/>
              <w:rPr>
                <w:sz w:val="20"/>
                <w:szCs w:val="20"/>
                <w:color w:val="auto"/>
              </w:rPr>
            </w:pPr>
            <w:r>
              <w:rPr>
                <w:rFonts w:ascii="Arial" w:cs="Arial" w:eastAsia="Arial" w:hAnsi="Arial"/>
                <w:sz w:val="54"/>
                <w:szCs w:val="54"/>
                <w:color w:val="002B49"/>
              </w:rPr>
              <w:t>$0.78</w:t>
            </w:r>
            <w:r>
              <w:rPr>
                <w:rFonts w:ascii="Times New Roman" w:cs="Times New Roman" w:eastAsia="Times New Roman" w:hAnsi="Times New Roman"/>
                <w:sz w:val="23"/>
                <w:szCs w:val="23"/>
                <w:color w:val="000000"/>
                <w:vertAlign w:val="subscript"/>
              </w:rPr>
              <w:t>(1)</w:t>
            </w:r>
          </w:p>
        </w:tc>
        <w:tc>
          <w:tcPr>
            <w:tcW w:w="3240" w:type="dxa"/>
            <w:vAlign w:val="bottom"/>
          </w:tcPr>
          <w:p>
            <w:pPr>
              <w:jc w:val="right"/>
              <w:ind w:right="7"/>
              <w:spacing w:after="0"/>
              <w:rPr>
                <w:sz w:val="20"/>
                <w:szCs w:val="20"/>
                <w:color w:val="auto"/>
              </w:rPr>
            </w:pPr>
            <w:r>
              <w:rPr>
                <w:rFonts w:ascii="Arial" w:cs="Arial" w:eastAsia="Arial" w:hAnsi="Arial"/>
                <w:sz w:val="54"/>
                <w:szCs w:val="54"/>
                <w:color w:val="002B49"/>
              </w:rPr>
              <w:t>$1.08</w:t>
            </w:r>
            <w:r>
              <w:rPr>
                <w:rFonts w:ascii="Times New Roman" w:cs="Times New Roman" w:eastAsia="Times New Roman" w:hAnsi="Times New Roman"/>
                <w:sz w:val="23"/>
                <w:szCs w:val="23"/>
                <w:color w:val="000000"/>
                <w:vertAlign w:val="subscript"/>
              </w:rPr>
              <w:t>(1)</w:t>
            </w:r>
          </w:p>
        </w:tc>
        <w:tc>
          <w:tcPr>
            <w:tcW w:w="3020" w:type="dxa"/>
            <w:vAlign w:val="bottom"/>
          </w:tcPr>
          <w:p>
            <w:pPr>
              <w:jc w:val="right"/>
              <w:spacing w:after="0"/>
              <w:rPr>
                <w:sz w:val="20"/>
                <w:szCs w:val="20"/>
                <w:color w:val="auto"/>
              </w:rPr>
            </w:pPr>
            <w:r>
              <w:rPr>
                <w:rFonts w:ascii="Arial" w:cs="Arial" w:eastAsia="Arial" w:hAnsi="Arial"/>
                <w:sz w:val="54"/>
                <w:szCs w:val="54"/>
                <w:color w:val="002B49"/>
              </w:rPr>
              <w:t>95.3%</w:t>
            </w:r>
          </w:p>
        </w:tc>
      </w:tr>
      <w:tr>
        <w:trPr>
          <w:trHeight w:val="190"/>
        </w:trPr>
        <w:tc>
          <w:tcPr>
            <w:tcW w:w="3000" w:type="dxa"/>
            <w:vAlign w:val="bottom"/>
          </w:tcPr>
          <w:p>
            <w:pPr>
              <w:jc w:val="right"/>
              <w:ind w:right="208"/>
              <w:spacing w:after="0"/>
              <w:rPr>
                <w:sz w:val="20"/>
                <w:szCs w:val="20"/>
                <w:color w:val="auto"/>
              </w:rPr>
            </w:pPr>
            <w:r>
              <w:rPr>
                <w:rFonts w:ascii="Arial" w:cs="Arial" w:eastAsia="Arial" w:hAnsi="Arial"/>
                <w:sz w:val="16"/>
                <w:szCs w:val="16"/>
                <w:color w:val="494949"/>
              </w:rPr>
              <w:t>Full Year FFO Per Diluted Share</w:t>
            </w:r>
          </w:p>
        </w:tc>
        <w:tc>
          <w:tcPr>
            <w:tcW w:w="3240" w:type="dxa"/>
            <w:vAlign w:val="bottom"/>
          </w:tcPr>
          <w:p>
            <w:pPr>
              <w:jc w:val="right"/>
              <w:ind w:right="167"/>
              <w:spacing w:after="0"/>
              <w:rPr>
                <w:sz w:val="20"/>
                <w:szCs w:val="20"/>
                <w:color w:val="auto"/>
              </w:rPr>
            </w:pPr>
            <w:r>
              <w:rPr>
                <w:rFonts w:ascii="Arial" w:cs="Arial" w:eastAsia="Arial" w:hAnsi="Arial"/>
                <w:sz w:val="16"/>
                <w:szCs w:val="16"/>
                <w:color w:val="494949"/>
              </w:rPr>
              <w:t>Full Year Normalized FFO Per Diluted</w:t>
            </w:r>
          </w:p>
        </w:tc>
        <w:tc>
          <w:tcPr>
            <w:tcW w:w="3020" w:type="dxa"/>
            <w:vAlign w:val="bottom"/>
          </w:tcPr>
          <w:p>
            <w:pPr>
              <w:jc w:val="right"/>
              <w:spacing w:after="0"/>
              <w:rPr>
                <w:sz w:val="20"/>
                <w:szCs w:val="20"/>
                <w:color w:val="auto"/>
              </w:rPr>
            </w:pPr>
            <w:r>
              <w:rPr>
                <w:rFonts w:ascii="Arial" w:cs="Arial" w:eastAsia="Arial" w:hAnsi="Arial"/>
                <w:sz w:val="16"/>
                <w:szCs w:val="16"/>
                <w:color w:val="494949"/>
              </w:rPr>
              <w:t>Wtd. Avg Stabilized Portfolio Occupancy</w:t>
            </w:r>
          </w:p>
        </w:tc>
      </w:tr>
      <w:tr>
        <w:trPr>
          <w:trHeight w:val="187"/>
        </w:trPr>
        <w:tc>
          <w:tcPr>
            <w:tcW w:w="3000" w:type="dxa"/>
            <w:vAlign w:val="bottom"/>
          </w:tcPr>
          <w:p>
            <w:pPr>
              <w:spacing w:after="0"/>
              <w:rPr>
                <w:sz w:val="16"/>
                <w:szCs w:val="16"/>
                <w:color w:val="auto"/>
              </w:rPr>
            </w:pPr>
          </w:p>
        </w:tc>
        <w:tc>
          <w:tcPr>
            <w:tcW w:w="3240" w:type="dxa"/>
            <w:vAlign w:val="bottom"/>
          </w:tcPr>
          <w:p>
            <w:pPr>
              <w:jc w:val="right"/>
              <w:ind w:right="167"/>
              <w:spacing w:after="0"/>
              <w:rPr>
                <w:sz w:val="20"/>
                <w:szCs w:val="20"/>
                <w:color w:val="auto"/>
              </w:rPr>
            </w:pPr>
            <w:r>
              <w:rPr>
                <w:rFonts w:ascii="Arial" w:cs="Arial" w:eastAsia="Arial" w:hAnsi="Arial"/>
                <w:sz w:val="16"/>
                <w:szCs w:val="16"/>
                <w:color w:val="494949"/>
              </w:rPr>
              <w:t>Share</w:t>
            </w:r>
          </w:p>
        </w:tc>
        <w:tc>
          <w:tcPr>
            <w:tcW w:w="3020" w:type="dxa"/>
            <w:vAlign w:val="bottom"/>
          </w:tcPr>
          <w:p>
            <w:pPr>
              <w:jc w:val="right"/>
              <w:spacing w:after="0"/>
              <w:rPr>
                <w:sz w:val="20"/>
                <w:szCs w:val="20"/>
                <w:color w:val="auto"/>
              </w:rPr>
            </w:pPr>
            <w:r>
              <w:rPr>
                <w:rFonts w:ascii="Arial" w:cs="Arial" w:eastAsia="Arial" w:hAnsi="Arial"/>
                <w:sz w:val="16"/>
                <w:szCs w:val="16"/>
                <w:color w:val="494949"/>
              </w:rPr>
              <w:t>as of December 31, 2025</w:t>
            </w:r>
          </w:p>
        </w:tc>
      </w:tr>
      <w:tr>
        <w:trPr>
          <w:trHeight w:val="771"/>
        </w:trPr>
        <w:tc>
          <w:tcPr>
            <w:tcW w:w="3000" w:type="dxa"/>
            <w:vAlign w:val="bottom"/>
          </w:tcPr>
          <w:p>
            <w:pPr>
              <w:jc w:val="right"/>
              <w:ind w:right="228"/>
              <w:spacing w:after="0"/>
              <w:rPr>
                <w:sz w:val="20"/>
                <w:szCs w:val="20"/>
                <w:color w:val="auto"/>
              </w:rPr>
            </w:pPr>
            <w:r>
              <w:rPr>
                <w:rFonts w:ascii="Arial" w:cs="Arial" w:eastAsia="Arial" w:hAnsi="Arial"/>
                <w:sz w:val="54"/>
                <w:szCs w:val="54"/>
                <w:color w:val="002B49"/>
              </w:rPr>
              <w:t>59%</w:t>
            </w:r>
          </w:p>
        </w:tc>
        <w:tc>
          <w:tcPr>
            <w:tcW w:w="3240" w:type="dxa"/>
            <w:vAlign w:val="bottom"/>
          </w:tcPr>
          <w:p>
            <w:pPr>
              <w:jc w:val="right"/>
              <w:ind w:right="167"/>
              <w:spacing w:after="0"/>
              <w:rPr>
                <w:sz w:val="20"/>
                <w:szCs w:val="20"/>
                <w:color w:val="auto"/>
              </w:rPr>
            </w:pPr>
            <w:r>
              <w:rPr>
                <w:rFonts w:ascii="Arial" w:cs="Arial" w:eastAsia="Arial" w:hAnsi="Arial"/>
                <w:sz w:val="54"/>
                <w:szCs w:val="54"/>
                <w:color w:val="002B49"/>
              </w:rPr>
              <w:t>859K</w:t>
            </w:r>
          </w:p>
        </w:tc>
        <w:tc>
          <w:tcPr>
            <w:tcW w:w="3020" w:type="dxa"/>
            <w:vAlign w:val="bottom"/>
          </w:tcPr>
          <w:p>
            <w:pPr>
              <w:jc w:val="right"/>
              <w:spacing w:after="0"/>
              <w:rPr>
                <w:sz w:val="20"/>
                <w:szCs w:val="20"/>
                <w:color w:val="auto"/>
              </w:rPr>
            </w:pPr>
            <w:r>
              <w:rPr>
                <w:rFonts w:ascii="Arial" w:cs="Arial" w:eastAsia="Arial" w:hAnsi="Arial"/>
                <w:sz w:val="54"/>
                <w:szCs w:val="54"/>
                <w:color w:val="002B49"/>
              </w:rPr>
              <w:t>14.0%</w:t>
            </w:r>
          </w:p>
        </w:tc>
      </w:tr>
      <w:tr>
        <w:trPr>
          <w:trHeight w:val="190"/>
        </w:trPr>
        <w:tc>
          <w:tcPr>
            <w:tcW w:w="3000" w:type="dxa"/>
            <w:vAlign w:val="bottom"/>
          </w:tcPr>
          <w:p>
            <w:pPr>
              <w:jc w:val="right"/>
              <w:ind w:right="228"/>
              <w:spacing w:after="0"/>
              <w:rPr>
                <w:sz w:val="20"/>
                <w:szCs w:val="20"/>
                <w:color w:val="auto"/>
              </w:rPr>
            </w:pPr>
            <w:r>
              <w:rPr>
                <w:rFonts w:ascii="Arial" w:cs="Arial" w:eastAsia="Arial" w:hAnsi="Arial"/>
                <w:sz w:val="16"/>
                <w:szCs w:val="16"/>
                <w:color w:val="494949"/>
              </w:rPr>
              <w:t>ABR in Mixed-Use Communities</w:t>
            </w:r>
          </w:p>
        </w:tc>
        <w:tc>
          <w:tcPr>
            <w:tcW w:w="3240" w:type="dxa"/>
            <w:vAlign w:val="bottom"/>
          </w:tcPr>
          <w:p>
            <w:pPr>
              <w:jc w:val="right"/>
              <w:ind w:right="167"/>
              <w:spacing w:after="0"/>
              <w:rPr>
                <w:sz w:val="20"/>
                <w:szCs w:val="20"/>
                <w:color w:val="auto"/>
              </w:rPr>
            </w:pPr>
            <w:r>
              <w:rPr>
                <w:rFonts w:ascii="Arial" w:cs="Arial" w:eastAsia="Arial" w:hAnsi="Arial"/>
                <w:sz w:val="16"/>
                <w:szCs w:val="16"/>
                <w:color w:val="494949"/>
              </w:rPr>
              <w:t>Square Feet of New and Renewed</w:t>
            </w:r>
          </w:p>
        </w:tc>
        <w:tc>
          <w:tcPr>
            <w:tcW w:w="3020" w:type="dxa"/>
            <w:vAlign w:val="bottom"/>
          </w:tcPr>
          <w:p>
            <w:pPr>
              <w:jc w:val="right"/>
              <w:spacing w:after="0"/>
              <w:rPr>
                <w:sz w:val="20"/>
                <w:szCs w:val="20"/>
                <w:color w:val="auto"/>
              </w:rPr>
            </w:pPr>
            <w:r>
              <w:rPr>
                <w:rFonts w:ascii="Arial" w:cs="Arial" w:eastAsia="Arial" w:hAnsi="Arial"/>
                <w:sz w:val="16"/>
                <w:szCs w:val="16"/>
                <w:color w:val="494949"/>
              </w:rPr>
              <w:t>Fourth Quarter Commercial New and</w:t>
            </w:r>
          </w:p>
        </w:tc>
      </w:tr>
      <w:tr>
        <w:trPr>
          <w:trHeight w:val="189"/>
        </w:trPr>
        <w:tc>
          <w:tcPr>
            <w:tcW w:w="3000" w:type="dxa"/>
            <w:vAlign w:val="bottom"/>
          </w:tcPr>
          <w:p>
            <w:pPr>
              <w:spacing w:after="0"/>
              <w:rPr>
                <w:sz w:val="16"/>
                <w:szCs w:val="16"/>
                <w:color w:val="auto"/>
              </w:rPr>
            </w:pPr>
          </w:p>
        </w:tc>
        <w:tc>
          <w:tcPr>
            <w:tcW w:w="3240" w:type="dxa"/>
            <w:vAlign w:val="bottom"/>
          </w:tcPr>
          <w:p>
            <w:pPr>
              <w:jc w:val="right"/>
              <w:ind w:right="167"/>
              <w:spacing w:after="0"/>
              <w:rPr>
                <w:sz w:val="20"/>
                <w:szCs w:val="20"/>
                <w:color w:val="auto"/>
              </w:rPr>
            </w:pPr>
            <w:r>
              <w:rPr>
                <w:rFonts w:ascii="Arial" w:cs="Arial" w:eastAsia="Arial" w:hAnsi="Arial"/>
                <w:sz w:val="16"/>
                <w:szCs w:val="16"/>
                <w:color w:val="494949"/>
              </w:rPr>
              <w:t>Commercial Space for the Full Year of</w:t>
            </w:r>
          </w:p>
        </w:tc>
        <w:tc>
          <w:tcPr>
            <w:tcW w:w="3020" w:type="dxa"/>
            <w:vAlign w:val="bottom"/>
          </w:tcPr>
          <w:p>
            <w:pPr>
              <w:jc w:val="right"/>
              <w:spacing w:after="0"/>
              <w:rPr>
                <w:sz w:val="20"/>
                <w:szCs w:val="20"/>
                <w:color w:val="auto"/>
              </w:rPr>
            </w:pPr>
            <w:r>
              <w:rPr>
                <w:rFonts w:ascii="Arial" w:cs="Arial" w:eastAsia="Arial" w:hAnsi="Arial"/>
                <w:sz w:val="16"/>
                <w:szCs w:val="16"/>
                <w:color w:val="494949"/>
              </w:rPr>
              <w:t>Renewed Lease Spread Increase,</w:t>
            </w:r>
          </w:p>
        </w:tc>
      </w:tr>
      <w:tr>
        <w:trPr>
          <w:trHeight w:val="215"/>
        </w:trPr>
        <w:tc>
          <w:tcPr>
            <w:tcW w:w="3000" w:type="dxa"/>
            <w:vAlign w:val="bottom"/>
          </w:tcPr>
          <w:p>
            <w:pPr>
              <w:spacing w:after="0"/>
              <w:rPr>
                <w:sz w:val="18"/>
                <w:szCs w:val="18"/>
                <w:color w:val="auto"/>
              </w:rPr>
            </w:pPr>
          </w:p>
        </w:tc>
        <w:tc>
          <w:tcPr>
            <w:tcW w:w="3240" w:type="dxa"/>
            <w:vAlign w:val="bottom"/>
          </w:tcPr>
          <w:p>
            <w:pPr>
              <w:jc w:val="right"/>
              <w:ind w:right="167"/>
              <w:spacing w:after="0"/>
              <w:rPr>
                <w:sz w:val="20"/>
                <w:szCs w:val="20"/>
                <w:color w:val="auto"/>
              </w:rPr>
            </w:pPr>
            <w:r>
              <w:rPr>
                <w:rFonts w:ascii="Arial" w:cs="Arial" w:eastAsia="Arial" w:hAnsi="Arial"/>
                <w:sz w:val="16"/>
                <w:szCs w:val="16"/>
                <w:color w:val="494949"/>
              </w:rPr>
              <w:t>2025</w:t>
            </w:r>
          </w:p>
        </w:tc>
        <w:tc>
          <w:tcPr>
            <w:tcW w:w="3020" w:type="dxa"/>
            <w:vAlign w:val="bottom"/>
          </w:tcPr>
          <w:p>
            <w:pPr>
              <w:jc w:val="right"/>
              <w:spacing w:after="0"/>
              <w:rPr>
                <w:sz w:val="20"/>
                <w:szCs w:val="20"/>
                <w:color w:val="auto"/>
              </w:rPr>
            </w:pPr>
            <w:r>
              <w:rPr>
                <w:rFonts w:ascii="Arial" w:cs="Arial" w:eastAsia="Arial" w:hAnsi="Arial"/>
                <w:sz w:val="16"/>
                <w:szCs w:val="16"/>
                <w:color w:val="494949"/>
              </w:rPr>
              <w:t>GAAP</w:t>
            </w:r>
          </w:p>
        </w:tc>
      </w:tr>
      <w:tr>
        <w:trPr>
          <w:trHeight w:val="743"/>
        </w:trPr>
        <w:tc>
          <w:tcPr>
            <w:tcW w:w="3000" w:type="dxa"/>
            <w:vAlign w:val="bottom"/>
          </w:tcPr>
          <w:p>
            <w:pPr>
              <w:jc w:val="right"/>
              <w:ind w:right="228"/>
              <w:spacing w:after="0"/>
              <w:rPr>
                <w:sz w:val="20"/>
                <w:szCs w:val="20"/>
                <w:color w:val="auto"/>
              </w:rPr>
            </w:pPr>
            <w:r>
              <w:rPr>
                <w:rFonts w:ascii="Arial" w:cs="Arial" w:eastAsia="Arial" w:hAnsi="Arial"/>
                <w:sz w:val="54"/>
                <w:szCs w:val="54"/>
                <w:color w:val="002B49"/>
              </w:rPr>
              <w:t>7.7%</w:t>
            </w:r>
          </w:p>
        </w:tc>
        <w:tc>
          <w:tcPr>
            <w:tcW w:w="3240" w:type="dxa"/>
            <w:vAlign w:val="bottom"/>
          </w:tcPr>
          <w:p>
            <w:pPr>
              <w:jc w:val="right"/>
              <w:ind w:right="167"/>
              <w:spacing w:after="0"/>
              <w:rPr>
                <w:sz w:val="20"/>
                <w:szCs w:val="20"/>
                <w:color w:val="auto"/>
              </w:rPr>
            </w:pPr>
            <w:r>
              <w:rPr>
                <w:rFonts w:ascii="Arial" w:cs="Arial" w:eastAsia="Arial" w:hAnsi="Arial"/>
                <w:sz w:val="54"/>
                <w:szCs w:val="54"/>
                <w:color w:val="002B49"/>
              </w:rPr>
              <w:t>8.9%</w:t>
            </w:r>
          </w:p>
        </w:tc>
        <w:tc>
          <w:tcPr>
            <w:tcW w:w="3020" w:type="dxa"/>
            <w:vAlign w:val="bottom"/>
          </w:tcPr>
          <w:p>
            <w:pPr>
              <w:jc w:val="right"/>
              <w:spacing w:after="0"/>
              <w:rPr>
                <w:sz w:val="20"/>
                <w:szCs w:val="20"/>
                <w:color w:val="auto"/>
              </w:rPr>
            </w:pPr>
            <w:r>
              <w:rPr>
                <w:rFonts w:ascii="Arial" w:cs="Arial" w:eastAsia="Arial" w:hAnsi="Arial"/>
                <w:sz w:val="54"/>
                <w:szCs w:val="54"/>
                <w:color w:val="002B49"/>
              </w:rPr>
              <w:t>8.3%</w:t>
            </w:r>
          </w:p>
        </w:tc>
      </w:tr>
      <w:tr>
        <w:trPr>
          <w:trHeight w:val="190"/>
        </w:trPr>
        <w:tc>
          <w:tcPr>
            <w:tcW w:w="3000" w:type="dxa"/>
            <w:vAlign w:val="bottom"/>
          </w:tcPr>
          <w:p>
            <w:pPr>
              <w:jc w:val="right"/>
              <w:ind w:right="208"/>
              <w:spacing w:after="0"/>
              <w:rPr>
                <w:sz w:val="20"/>
                <w:szCs w:val="20"/>
                <w:color w:val="auto"/>
              </w:rPr>
            </w:pPr>
            <w:r>
              <w:rPr>
                <w:rFonts w:ascii="Arial" w:cs="Arial" w:eastAsia="Arial" w:hAnsi="Arial"/>
                <w:sz w:val="16"/>
                <w:szCs w:val="16"/>
                <w:color w:val="494949"/>
              </w:rPr>
              <w:t>Commercial Same Store NOI, GAAP</w:t>
            </w:r>
          </w:p>
        </w:tc>
        <w:tc>
          <w:tcPr>
            <w:tcW w:w="3240" w:type="dxa"/>
            <w:vAlign w:val="bottom"/>
          </w:tcPr>
          <w:p>
            <w:pPr>
              <w:jc w:val="right"/>
              <w:ind w:right="167"/>
              <w:spacing w:after="0"/>
              <w:rPr>
                <w:sz w:val="20"/>
                <w:szCs w:val="20"/>
                <w:color w:val="auto"/>
              </w:rPr>
            </w:pPr>
            <w:r>
              <w:rPr>
                <w:rFonts w:ascii="Arial" w:cs="Arial" w:eastAsia="Arial" w:hAnsi="Arial"/>
                <w:sz w:val="16"/>
                <w:szCs w:val="16"/>
                <w:color w:val="494949"/>
              </w:rPr>
              <w:t>Commercial Same Store NOI, Cash</w:t>
            </w:r>
          </w:p>
        </w:tc>
        <w:tc>
          <w:tcPr>
            <w:tcW w:w="3020" w:type="dxa"/>
            <w:vAlign w:val="bottom"/>
          </w:tcPr>
          <w:p>
            <w:pPr>
              <w:jc w:val="right"/>
              <w:spacing w:after="0"/>
              <w:rPr>
                <w:sz w:val="20"/>
                <w:szCs w:val="20"/>
                <w:color w:val="auto"/>
              </w:rPr>
            </w:pPr>
            <w:r>
              <w:rPr>
                <w:rFonts w:ascii="Arial" w:cs="Arial" w:eastAsia="Arial" w:hAnsi="Arial"/>
                <w:sz w:val="16"/>
                <w:szCs w:val="16"/>
                <w:color w:val="494949"/>
              </w:rPr>
              <w:t>Fourth Quarter Commercial New and</w:t>
            </w:r>
          </w:p>
        </w:tc>
      </w:tr>
      <w:tr>
        <w:trPr>
          <w:trHeight w:val="189"/>
        </w:trPr>
        <w:tc>
          <w:tcPr>
            <w:tcW w:w="3000" w:type="dxa"/>
            <w:vAlign w:val="bottom"/>
          </w:tcPr>
          <w:p>
            <w:pPr>
              <w:jc w:val="right"/>
              <w:ind w:right="228"/>
              <w:spacing w:after="0"/>
              <w:rPr>
                <w:sz w:val="20"/>
                <w:szCs w:val="20"/>
                <w:color w:val="auto"/>
              </w:rPr>
            </w:pPr>
            <w:r>
              <w:rPr>
                <w:rFonts w:ascii="Arial" w:cs="Arial" w:eastAsia="Arial" w:hAnsi="Arial"/>
                <w:sz w:val="16"/>
                <w:szCs w:val="16"/>
                <w:color w:val="494949"/>
              </w:rPr>
              <w:t>Increase</w:t>
            </w:r>
          </w:p>
        </w:tc>
        <w:tc>
          <w:tcPr>
            <w:tcW w:w="3240" w:type="dxa"/>
            <w:vAlign w:val="bottom"/>
          </w:tcPr>
          <w:p>
            <w:pPr>
              <w:jc w:val="right"/>
              <w:ind w:right="167"/>
              <w:spacing w:after="0"/>
              <w:rPr>
                <w:sz w:val="20"/>
                <w:szCs w:val="20"/>
                <w:color w:val="auto"/>
              </w:rPr>
            </w:pPr>
            <w:r>
              <w:rPr>
                <w:rFonts w:ascii="Arial" w:cs="Arial" w:eastAsia="Arial" w:hAnsi="Arial"/>
                <w:sz w:val="16"/>
                <w:szCs w:val="16"/>
                <w:color w:val="494949"/>
              </w:rPr>
              <w:t>Increase</w:t>
            </w:r>
          </w:p>
        </w:tc>
        <w:tc>
          <w:tcPr>
            <w:tcW w:w="3020" w:type="dxa"/>
            <w:vAlign w:val="bottom"/>
          </w:tcPr>
          <w:p>
            <w:pPr>
              <w:jc w:val="right"/>
              <w:spacing w:after="0"/>
              <w:rPr>
                <w:sz w:val="20"/>
                <w:szCs w:val="20"/>
                <w:color w:val="auto"/>
              </w:rPr>
            </w:pPr>
            <w:r>
              <w:rPr>
                <w:rFonts w:ascii="Arial" w:cs="Arial" w:eastAsia="Arial" w:hAnsi="Arial"/>
                <w:sz w:val="16"/>
                <w:szCs w:val="16"/>
                <w:color w:val="494949"/>
              </w:rPr>
              <w:t>Renewed Lease Spread, Cash</w:t>
            </w:r>
          </w:p>
        </w:tc>
      </w:tr>
      <w:tr>
        <w:trPr>
          <w:trHeight w:val="215"/>
        </w:trPr>
        <w:tc>
          <w:tcPr>
            <w:tcW w:w="3000" w:type="dxa"/>
            <w:vAlign w:val="bottom"/>
          </w:tcPr>
          <w:p>
            <w:pPr>
              <w:jc w:val="right"/>
              <w:ind w:right="228"/>
              <w:spacing w:after="0"/>
              <w:rPr>
                <w:sz w:val="20"/>
                <w:szCs w:val="20"/>
                <w:color w:val="auto"/>
              </w:rPr>
            </w:pPr>
            <w:r>
              <w:rPr>
                <w:rFonts w:ascii="Arial" w:cs="Arial" w:eastAsia="Arial" w:hAnsi="Arial"/>
                <w:sz w:val="16"/>
                <w:szCs w:val="16"/>
                <w:color w:val="494949"/>
              </w:rPr>
              <w:t>4Q2025 vs. 4Q2024</w:t>
            </w:r>
          </w:p>
        </w:tc>
        <w:tc>
          <w:tcPr>
            <w:tcW w:w="3240" w:type="dxa"/>
            <w:vAlign w:val="bottom"/>
          </w:tcPr>
          <w:p>
            <w:pPr>
              <w:jc w:val="right"/>
              <w:ind w:right="167"/>
              <w:spacing w:after="0"/>
              <w:rPr>
                <w:sz w:val="20"/>
                <w:szCs w:val="20"/>
                <w:color w:val="auto"/>
              </w:rPr>
            </w:pPr>
            <w:r>
              <w:rPr>
                <w:rFonts w:ascii="Arial" w:cs="Arial" w:eastAsia="Arial" w:hAnsi="Arial"/>
                <w:sz w:val="16"/>
                <w:szCs w:val="16"/>
                <w:color w:val="494949"/>
              </w:rPr>
              <w:t>4Q2025 vs. 4Q2024</w:t>
            </w:r>
          </w:p>
        </w:tc>
        <w:tc>
          <w:tcPr>
            <w:tcW w:w="3020" w:type="dxa"/>
            <w:vAlign w:val="bottom"/>
          </w:tcPr>
          <w:p>
            <w:pPr>
              <w:spacing w:after="0"/>
              <w:rPr>
                <w:sz w:val="18"/>
                <w:szCs w:val="18"/>
                <w:color w:val="auto"/>
              </w:rPr>
            </w:pPr>
          </w:p>
        </w:tc>
      </w:tr>
    </w:tbl>
    <w:p>
      <w:pPr>
        <w:spacing w:after="0" w:line="247"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8"/>
          <w:szCs w:val="28"/>
          <w:color w:val="auto"/>
          <w:vertAlign w:val="superscript"/>
        </w:rPr>
      </w:pPr>
      <w:r>
        <w:rPr>
          <w:rFonts w:ascii="Arial" w:cs="Arial" w:eastAsia="Arial" w:hAnsi="Arial"/>
          <w:sz w:val="16"/>
          <w:szCs w:val="16"/>
          <w:color w:val="auto"/>
        </w:rPr>
        <w:t>Refer to Appendix A for a definition of FFO and Normalized FFO, which are both non-GAAP measures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308"/>
              <w:spacing w:after="0"/>
              <w:rPr>
                <w:sz w:val="20"/>
                <w:szCs w:val="20"/>
                <w:color w:val="auto"/>
              </w:rPr>
            </w:pPr>
            <w:r>
              <w:rPr>
                <w:rFonts w:ascii="Arial" w:cs="Arial" w:eastAsia="Arial" w:hAnsi="Arial"/>
                <w:sz w:val="14"/>
                <w:szCs w:val="14"/>
                <w:color w:val="747C83"/>
              </w:rPr>
              <w:t>2</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747C83"/>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478A3"/>
        </w:rPr>
        <w:t>Corporate Governance Highlights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260" w:type="dxa"/>
            <w:vAlign w:val="bottom"/>
            <w:tcBorders>
              <w:top w:val="single" w:sz="8" w:color="929292"/>
              <w:left w:val="single" w:sz="8" w:color="929292"/>
              <w:right w:val="single" w:sz="8" w:color="929292"/>
            </w:tcBorders>
            <w:shd w:val="clear" w:color="auto" w:fill="E3EAEE"/>
          </w:tcPr>
          <w:p>
            <w:pPr>
              <w:spacing w:after="0"/>
              <w:rPr>
                <w:sz w:val="14"/>
                <w:szCs w:val="14"/>
                <w:color w:val="auto"/>
              </w:rPr>
            </w:pPr>
          </w:p>
        </w:tc>
        <w:tc>
          <w:tcPr>
            <w:tcW w:w="500" w:type="dxa"/>
            <w:vAlign w:val="bottom"/>
            <w:tcBorders>
              <w:top w:val="single" w:sz="8" w:color="929292"/>
            </w:tcBorders>
            <w:shd w:val="clear" w:color="auto" w:fill="E3EAEE"/>
          </w:tcPr>
          <w:p>
            <w:pPr>
              <w:ind w:left="340"/>
              <w:spacing w:after="0" w:line="168" w:lineRule="exact"/>
              <w:rPr>
                <w:sz w:val="20"/>
                <w:szCs w:val="20"/>
                <w:color w:val="auto"/>
              </w:rPr>
            </w:pPr>
            <w:r>
              <w:rPr>
                <w:rFonts w:ascii="Arial" w:cs="Arial" w:eastAsia="Arial" w:hAnsi="Arial"/>
                <w:sz w:val="16"/>
                <w:szCs w:val="16"/>
                <w:color w:val="auto"/>
              </w:rPr>
              <w:t>•</w:t>
            </w:r>
          </w:p>
        </w:tc>
        <w:tc>
          <w:tcPr>
            <w:tcW w:w="8360" w:type="dxa"/>
            <w:vAlign w:val="bottom"/>
            <w:tcBorders>
              <w:top w:val="single" w:sz="8" w:color="929292"/>
              <w:right w:val="single" w:sz="8" w:color="929292"/>
            </w:tcBorders>
            <w:shd w:val="clear" w:color="auto" w:fill="E3EAEE"/>
          </w:tcPr>
          <w:p>
            <w:pPr>
              <w:ind w:left="120"/>
              <w:spacing w:after="0" w:line="168" w:lineRule="exact"/>
              <w:rPr>
                <w:sz w:val="20"/>
                <w:szCs w:val="20"/>
                <w:color w:val="auto"/>
              </w:rPr>
            </w:pPr>
            <w:r>
              <w:rPr>
                <w:rFonts w:ascii="Arial" w:cs="Arial" w:eastAsia="Arial" w:hAnsi="Arial"/>
                <w:sz w:val="16"/>
                <w:szCs w:val="16"/>
                <w:color w:val="auto"/>
              </w:rPr>
              <w:t>Independent Lead Director</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vMerge w:val="restart"/>
            <w:shd w:val="clear" w:color="auto" w:fill="E3EAEE"/>
          </w:tcPr>
          <w:p>
            <w:pPr>
              <w:ind w:left="40"/>
              <w:spacing w:after="0"/>
              <w:rPr>
                <w:sz w:val="20"/>
                <w:szCs w:val="20"/>
                <w:color w:val="auto"/>
              </w:rPr>
            </w:pPr>
            <w:r>
              <w:rPr>
                <w:rFonts w:ascii="Arial" w:cs="Arial" w:eastAsia="Arial" w:hAnsi="Arial"/>
                <w:sz w:val="16"/>
                <w:szCs w:val="16"/>
                <w:color w:val="3E474E"/>
              </w:rPr>
              <w:t>Board Structure &amp;</w:t>
            </w:r>
          </w:p>
        </w:tc>
        <w:tc>
          <w:tcPr>
            <w:tcW w:w="8860" w:type="dxa"/>
            <w:vAlign w:val="bottom"/>
            <w:tcBorders>
              <w:right w:val="single" w:sz="8" w:color="929292"/>
            </w:tcBorders>
            <w:gridSpan w:val="2"/>
            <w:shd w:val="clear" w:color="auto" w:fill="E3EAEE"/>
          </w:tcPr>
          <w:p>
            <w:pPr>
              <w:ind w:left="340"/>
              <w:spacing w:after="0" w:line="162" w:lineRule="exact"/>
              <w:rPr>
                <w:sz w:val="20"/>
                <w:szCs w:val="20"/>
                <w:color w:val="auto"/>
              </w:rPr>
            </w:pPr>
            <w:r>
              <w:rPr>
                <w:rFonts w:ascii="Arial" w:cs="Arial" w:eastAsia="Arial" w:hAnsi="Arial"/>
                <w:sz w:val="16"/>
                <w:szCs w:val="16"/>
                <w:color w:val="auto"/>
              </w:rPr>
              <w:t>•   6 of 9 director nominees are independent; Audit, Compensation, and Nominating and Corporate Governance</w:t>
            </w:r>
          </w:p>
        </w:tc>
        <w:tc>
          <w:tcPr>
            <w:tcW w:w="0" w:type="dxa"/>
            <w:vAlign w:val="bottom"/>
          </w:tcPr>
          <w:p>
            <w:pPr>
              <w:spacing w:after="0"/>
              <w:rPr>
                <w:sz w:val="1"/>
                <w:szCs w:val="1"/>
                <w:color w:val="auto"/>
              </w:rPr>
            </w:pPr>
          </w:p>
        </w:tc>
      </w:tr>
      <w:tr>
        <w:trPr>
          <w:trHeight w:val="94"/>
        </w:trPr>
        <w:tc>
          <w:tcPr>
            <w:tcW w:w="2260" w:type="dxa"/>
            <w:vAlign w:val="bottom"/>
            <w:tcBorders>
              <w:left w:val="single" w:sz="8" w:color="929292"/>
              <w:right w:val="single" w:sz="8" w:color="929292"/>
            </w:tcBorders>
            <w:vMerge w:val="continue"/>
            <w:shd w:val="clear" w:color="auto" w:fill="E3EAEE"/>
          </w:tcPr>
          <w:p>
            <w:pPr>
              <w:spacing w:after="0"/>
              <w:rPr>
                <w:sz w:val="8"/>
                <w:szCs w:val="8"/>
                <w:color w:val="auto"/>
              </w:rPr>
            </w:pPr>
          </w:p>
        </w:tc>
        <w:tc>
          <w:tcPr>
            <w:tcW w:w="500" w:type="dxa"/>
            <w:vAlign w:val="bottom"/>
            <w:shd w:val="clear" w:color="auto" w:fill="E3EAEE"/>
          </w:tcPr>
          <w:p>
            <w:pPr>
              <w:spacing w:after="0"/>
              <w:rPr>
                <w:sz w:val="8"/>
                <w:szCs w:val="8"/>
                <w:color w:val="auto"/>
              </w:rPr>
            </w:pPr>
          </w:p>
        </w:tc>
        <w:tc>
          <w:tcPr>
            <w:tcW w:w="8360" w:type="dxa"/>
            <w:vAlign w:val="bottom"/>
            <w:tcBorders>
              <w:right w:val="single" w:sz="8" w:color="929292"/>
            </w:tcBorders>
            <w:vMerge w:val="restart"/>
            <w:shd w:val="clear" w:color="auto" w:fill="E3EAEE"/>
          </w:tcPr>
          <w:p>
            <w:pPr>
              <w:ind w:left="160"/>
              <w:spacing w:after="0" w:line="162" w:lineRule="exact"/>
              <w:rPr>
                <w:sz w:val="20"/>
                <w:szCs w:val="20"/>
                <w:color w:val="auto"/>
              </w:rPr>
            </w:pPr>
            <w:r>
              <w:rPr>
                <w:rFonts w:ascii="Arial" w:cs="Arial" w:eastAsia="Arial" w:hAnsi="Arial"/>
                <w:sz w:val="16"/>
                <w:szCs w:val="16"/>
                <w:color w:val="auto"/>
              </w:rPr>
              <w:t>committees each entirely comprised of independent directors</w:t>
            </w:r>
          </w:p>
        </w:tc>
        <w:tc>
          <w:tcPr>
            <w:tcW w:w="0" w:type="dxa"/>
            <w:vAlign w:val="bottom"/>
          </w:tcPr>
          <w:p>
            <w:pPr>
              <w:spacing w:after="0"/>
              <w:rPr>
                <w:sz w:val="1"/>
                <w:szCs w:val="1"/>
                <w:color w:val="auto"/>
              </w:rPr>
            </w:pPr>
          </w:p>
        </w:tc>
      </w:tr>
      <w:tr>
        <w:trPr>
          <w:trHeight w:val="68"/>
        </w:trPr>
        <w:tc>
          <w:tcPr>
            <w:tcW w:w="2260" w:type="dxa"/>
            <w:vAlign w:val="bottom"/>
            <w:tcBorders>
              <w:left w:val="single" w:sz="8" w:color="929292"/>
              <w:right w:val="single" w:sz="8" w:color="929292"/>
            </w:tcBorders>
            <w:vMerge w:val="restart"/>
            <w:shd w:val="clear" w:color="auto" w:fill="E3EAEE"/>
          </w:tcPr>
          <w:p>
            <w:pPr>
              <w:ind w:left="40"/>
              <w:spacing w:after="0"/>
              <w:rPr>
                <w:sz w:val="20"/>
                <w:szCs w:val="20"/>
                <w:color w:val="auto"/>
              </w:rPr>
            </w:pPr>
            <w:r>
              <w:rPr>
                <w:rFonts w:ascii="Arial" w:cs="Arial" w:eastAsia="Arial" w:hAnsi="Arial"/>
                <w:sz w:val="16"/>
                <w:szCs w:val="16"/>
                <w:color w:val="3E474E"/>
              </w:rPr>
              <w:t>Independence</w:t>
            </w:r>
          </w:p>
        </w:tc>
        <w:tc>
          <w:tcPr>
            <w:tcW w:w="500" w:type="dxa"/>
            <w:vAlign w:val="bottom"/>
            <w:vMerge w:val="restart"/>
            <w:shd w:val="clear" w:color="auto" w:fill="E3EAEE"/>
          </w:tcPr>
          <w:p>
            <w:pPr>
              <w:ind w:left="340"/>
              <w:spacing w:after="0"/>
              <w:rPr>
                <w:sz w:val="20"/>
                <w:szCs w:val="20"/>
                <w:color w:val="auto"/>
              </w:rPr>
            </w:pPr>
            <w:r>
              <w:rPr>
                <w:rFonts w:ascii="Arial" w:cs="Arial" w:eastAsia="Arial" w:hAnsi="Arial"/>
                <w:sz w:val="16"/>
                <w:szCs w:val="16"/>
                <w:color w:val="auto"/>
              </w:rPr>
              <w:t>•</w:t>
            </w:r>
          </w:p>
        </w:tc>
        <w:tc>
          <w:tcPr>
            <w:tcW w:w="8360" w:type="dxa"/>
            <w:vAlign w:val="bottom"/>
            <w:tcBorders>
              <w:right w:val="single" w:sz="8" w:color="929292"/>
            </w:tcBorders>
            <w:vMerge w:val="continue"/>
            <w:shd w:val="clear" w:color="auto" w:fill="E3EAE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vMerge w:val="continue"/>
            <w:shd w:val="clear" w:color="auto" w:fill="E3EAEE"/>
          </w:tcPr>
          <w:p>
            <w:pPr>
              <w:spacing w:after="0"/>
              <w:rPr>
                <w:sz w:val="14"/>
                <w:szCs w:val="14"/>
                <w:color w:val="auto"/>
              </w:rPr>
            </w:pPr>
          </w:p>
        </w:tc>
        <w:tc>
          <w:tcPr>
            <w:tcW w:w="500" w:type="dxa"/>
            <w:vAlign w:val="bottom"/>
            <w:vMerge w:val="continue"/>
            <w:shd w:val="clear" w:color="auto" w:fill="E3EAEE"/>
          </w:tcPr>
          <w:p>
            <w:pPr>
              <w:spacing w:after="0"/>
              <w:rPr>
                <w:sz w:val="14"/>
                <w:szCs w:val="14"/>
                <w:color w:val="auto"/>
              </w:rPr>
            </w:pPr>
          </w:p>
        </w:tc>
        <w:tc>
          <w:tcPr>
            <w:tcW w:w="8360" w:type="dxa"/>
            <w:vAlign w:val="bottom"/>
            <w:tcBorders>
              <w:right w:val="single" w:sz="8" w:color="929292"/>
            </w:tcBorders>
            <w:shd w:val="clear" w:color="auto" w:fill="E3EAEE"/>
          </w:tcPr>
          <w:p>
            <w:pPr>
              <w:ind w:left="120"/>
              <w:spacing w:after="0" w:line="162" w:lineRule="exact"/>
              <w:rPr>
                <w:sz w:val="20"/>
                <w:szCs w:val="20"/>
                <w:color w:val="auto"/>
              </w:rPr>
            </w:pPr>
            <w:r>
              <w:rPr>
                <w:rFonts w:ascii="Arial" w:cs="Arial" w:eastAsia="Arial" w:hAnsi="Arial"/>
                <w:sz w:val="16"/>
                <w:szCs w:val="16"/>
                <w:color w:val="auto"/>
              </w:rPr>
              <w:t>Executive sessions of independent directors held at every regular Board and Committee meeting</w:t>
            </w:r>
          </w:p>
        </w:tc>
        <w:tc>
          <w:tcPr>
            <w:tcW w:w="0" w:type="dxa"/>
            <w:vAlign w:val="bottom"/>
          </w:tcPr>
          <w:p>
            <w:pPr>
              <w:spacing w:after="0"/>
              <w:rPr>
                <w:sz w:val="1"/>
                <w:szCs w:val="1"/>
                <w:color w:val="auto"/>
              </w:rPr>
            </w:pPr>
          </w:p>
        </w:tc>
      </w:tr>
      <w:tr>
        <w:trPr>
          <w:trHeight w:val="215"/>
        </w:trPr>
        <w:tc>
          <w:tcPr>
            <w:tcW w:w="2260" w:type="dxa"/>
            <w:vAlign w:val="bottom"/>
            <w:tcBorders>
              <w:left w:val="single" w:sz="8" w:color="929292"/>
              <w:bottom w:val="single" w:sz="8" w:color="929292"/>
              <w:right w:val="single" w:sz="8" w:color="929292"/>
            </w:tcBorders>
            <w:shd w:val="clear" w:color="auto" w:fill="E3EAEE"/>
          </w:tcPr>
          <w:p>
            <w:pPr>
              <w:spacing w:after="0"/>
              <w:rPr>
                <w:sz w:val="18"/>
                <w:szCs w:val="18"/>
                <w:color w:val="auto"/>
              </w:rPr>
            </w:pPr>
          </w:p>
        </w:tc>
        <w:tc>
          <w:tcPr>
            <w:tcW w:w="8860" w:type="dxa"/>
            <w:vAlign w:val="bottom"/>
            <w:tcBorders>
              <w:bottom w:val="single" w:sz="8" w:color="929292"/>
              <w:right w:val="single" w:sz="8" w:color="929292"/>
            </w:tcBorders>
            <w:gridSpan w:val="2"/>
            <w:shd w:val="clear" w:color="auto" w:fill="E3EAEE"/>
          </w:tcPr>
          <w:p>
            <w:pPr>
              <w:ind w:left="340"/>
              <w:spacing w:after="0"/>
              <w:rPr>
                <w:sz w:val="20"/>
                <w:szCs w:val="20"/>
                <w:color w:val="auto"/>
              </w:rPr>
            </w:pPr>
            <w:r>
              <w:rPr>
                <w:rFonts w:ascii="Arial" w:cs="Arial" w:eastAsia="Arial" w:hAnsi="Arial"/>
                <w:sz w:val="16"/>
                <w:szCs w:val="16"/>
                <w:color w:val="auto"/>
              </w:rPr>
              <w:t>•   Mandatory director retirement age of 80 years</w:t>
            </w:r>
          </w:p>
        </w:tc>
        <w:tc>
          <w:tcPr>
            <w:tcW w:w="0" w:type="dxa"/>
            <w:vAlign w:val="bottom"/>
          </w:tcPr>
          <w:p>
            <w:pPr>
              <w:spacing w:after="0"/>
              <w:rPr>
                <w:sz w:val="1"/>
                <w:szCs w:val="1"/>
                <w:color w:val="auto"/>
              </w:rPr>
            </w:pPr>
          </w:p>
        </w:tc>
      </w:tr>
      <w:tr>
        <w:trPr>
          <w:trHeight w:val="156"/>
        </w:trPr>
        <w:tc>
          <w:tcPr>
            <w:tcW w:w="2260" w:type="dxa"/>
            <w:vAlign w:val="bottom"/>
            <w:tcBorders>
              <w:left w:val="single" w:sz="8" w:color="929292"/>
              <w:right w:val="single" w:sz="8" w:color="929292"/>
            </w:tcBorders>
          </w:tcPr>
          <w:p>
            <w:pPr>
              <w:spacing w:after="0"/>
              <w:rPr>
                <w:sz w:val="13"/>
                <w:szCs w:val="13"/>
                <w:color w:val="auto"/>
              </w:rPr>
            </w:pPr>
          </w:p>
        </w:tc>
        <w:tc>
          <w:tcPr>
            <w:tcW w:w="8860" w:type="dxa"/>
            <w:vAlign w:val="bottom"/>
            <w:tcBorders>
              <w:right w:val="single" w:sz="8" w:color="929292"/>
            </w:tcBorders>
            <w:gridSpan w:val="2"/>
          </w:tcPr>
          <w:p>
            <w:pPr>
              <w:ind w:left="340"/>
              <w:spacing w:after="0" w:line="156" w:lineRule="exact"/>
              <w:rPr>
                <w:sz w:val="20"/>
                <w:szCs w:val="20"/>
                <w:color w:val="auto"/>
              </w:rPr>
            </w:pPr>
            <w:r>
              <w:rPr>
                <w:rFonts w:ascii="Arial" w:cs="Arial" w:eastAsia="Arial" w:hAnsi="Arial"/>
                <w:sz w:val="16"/>
                <w:szCs w:val="16"/>
                <w:color w:val="auto"/>
              </w:rPr>
              <w:t>•   The Board is prohibited from electing to classify the Board of Directors without first obtaining stockholder approval</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tcPr>
          <w:p>
            <w:pPr>
              <w:spacing w:after="0"/>
              <w:rPr>
                <w:sz w:val="14"/>
                <w:szCs w:val="14"/>
                <w:color w:val="auto"/>
              </w:rPr>
            </w:pPr>
          </w:p>
        </w:tc>
        <w:tc>
          <w:tcPr>
            <w:tcW w:w="8860" w:type="dxa"/>
            <w:vAlign w:val="bottom"/>
            <w:tcBorders>
              <w:right w:val="single" w:sz="8" w:color="929292"/>
            </w:tcBorders>
            <w:gridSpan w:val="2"/>
          </w:tcPr>
          <w:p>
            <w:pPr>
              <w:ind w:left="340"/>
              <w:spacing w:after="0" w:line="162" w:lineRule="exact"/>
              <w:rPr>
                <w:sz w:val="20"/>
                <w:szCs w:val="20"/>
                <w:color w:val="auto"/>
              </w:rPr>
            </w:pPr>
            <w:r>
              <w:rPr>
                <w:rFonts w:ascii="Arial" w:cs="Arial" w:eastAsia="Arial" w:hAnsi="Arial"/>
                <w:sz w:val="16"/>
                <w:szCs w:val="16"/>
                <w:color w:val="auto"/>
              </w:rPr>
              <w:t>•   Annual election of directors</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tcPr>
          <w:p>
            <w:pPr>
              <w:spacing w:after="0"/>
              <w:rPr>
                <w:sz w:val="14"/>
                <w:szCs w:val="14"/>
                <w:color w:val="auto"/>
              </w:rPr>
            </w:pPr>
          </w:p>
        </w:tc>
        <w:tc>
          <w:tcPr>
            <w:tcW w:w="8860" w:type="dxa"/>
            <w:vAlign w:val="bottom"/>
            <w:tcBorders>
              <w:right w:val="single" w:sz="8" w:color="929292"/>
            </w:tcBorders>
            <w:gridSpan w:val="2"/>
          </w:tcPr>
          <w:p>
            <w:pPr>
              <w:ind w:left="340"/>
              <w:spacing w:after="0" w:line="162" w:lineRule="exact"/>
              <w:rPr>
                <w:sz w:val="20"/>
                <w:szCs w:val="20"/>
                <w:color w:val="auto"/>
              </w:rPr>
            </w:pPr>
            <w:r>
              <w:rPr>
                <w:rFonts w:ascii="Arial" w:cs="Arial" w:eastAsia="Arial" w:hAnsi="Arial"/>
                <w:sz w:val="16"/>
                <w:szCs w:val="16"/>
                <w:color w:val="auto"/>
              </w:rPr>
              <w:t>•   Annual say-on-pay advisory vote</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tcPr>
          <w:p>
            <w:pPr>
              <w:spacing w:after="0"/>
              <w:rPr>
                <w:sz w:val="14"/>
                <w:szCs w:val="14"/>
                <w:color w:val="auto"/>
              </w:rPr>
            </w:pPr>
          </w:p>
        </w:tc>
        <w:tc>
          <w:tcPr>
            <w:tcW w:w="8860" w:type="dxa"/>
            <w:vAlign w:val="bottom"/>
            <w:tcBorders>
              <w:right w:val="single" w:sz="8" w:color="929292"/>
            </w:tcBorders>
            <w:gridSpan w:val="2"/>
          </w:tcPr>
          <w:p>
            <w:pPr>
              <w:ind w:left="340"/>
              <w:spacing w:after="0" w:line="162" w:lineRule="exact"/>
              <w:rPr>
                <w:sz w:val="20"/>
                <w:szCs w:val="20"/>
                <w:color w:val="auto"/>
              </w:rPr>
            </w:pPr>
            <w:r>
              <w:rPr>
                <w:rFonts w:ascii="Arial" w:cs="Arial" w:eastAsia="Arial" w:hAnsi="Arial"/>
                <w:sz w:val="16"/>
                <w:szCs w:val="16"/>
                <w:color w:val="auto"/>
              </w:rPr>
              <w:t>•   Majority voting policy for elections of directors in uncontested elections</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vMerge w:val="restart"/>
          </w:tcPr>
          <w:p>
            <w:pPr>
              <w:ind w:left="40"/>
              <w:spacing w:after="0"/>
              <w:rPr>
                <w:sz w:val="20"/>
                <w:szCs w:val="20"/>
                <w:color w:val="auto"/>
              </w:rPr>
            </w:pPr>
            <w:r>
              <w:rPr>
                <w:rFonts w:ascii="Arial" w:cs="Arial" w:eastAsia="Arial" w:hAnsi="Arial"/>
                <w:sz w:val="16"/>
                <w:szCs w:val="16"/>
                <w:color w:val="3E474E"/>
              </w:rPr>
              <w:t>Stockholder Rights</w:t>
            </w:r>
          </w:p>
        </w:tc>
        <w:tc>
          <w:tcPr>
            <w:tcW w:w="8860" w:type="dxa"/>
            <w:vAlign w:val="bottom"/>
            <w:tcBorders>
              <w:right w:val="single" w:sz="8" w:color="929292"/>
            </w:tcBorders>
            <w:gridSpan w:val="2"/>
          </w:tcPr>
          <w:p>
            <w:pPr>
              <w:ind w:left="340"/>
              <w:spacing w:after="0" w:line="162" w:lineRule="exact"/>
              <w:rPr>
                <w:sz w:val="20"/>
                <w:szCs w:val="20"/>
                <w:color w:val="auto"/>
              </w:rPr>
            </w:pPr>
            <w:r>
              <w:rPr>
                <w:rFonts w:ascii="Arial" w:cs="Arial" w:eastAsia="Arial" w:hAnsi="Arial"/>
                <w:sz w:val="16"/>
                <w:szCs w:val="16"/>
                <w:color w:val="auto"/>
              </w:rPr>
              <w:t>•   Proxy access: In accordance with the Company bylaws, a stockholder, or group of up to 20 stockholders, owning</w:t>
            </w:r>
          </w:p>
        </w:tc>
        <w:tc>
          <w:tcPr>
            <w:tcW w:w="0" w:type="dxa"/>
            <w:vAlign w:val="bottom"/>
          </w:tcPr>
          <w:p>
            <w:pPr>
              <w:spacing w:after="0"/>
              <w:rPr>
                <w:sz w:val="1"/>
                <w:szCs w:val="1"/>
                <w:color w:val="auto"/>
              </w:rPr>
            </w:pPr>
          </w:p>
        </w:tc>
      </w:tr>
      <w:tr>
        <w:trPr>
          <w:trHeight w:val="133"/>
        </w:trPr>
        <w:tc>
          <w:tcPr>
            <w:tcW w:w="2260" w:type="dxa"/>
            <w:vAlign w:val="bottom"/>
            <w:tcBorders>
              <w:left w:val="single" w:sz="8" w:color="929292"/>
              <w:right w:val="single" w:sz="8" w:color="929292"/>
            </w:tcBorders>
            <w:vMerge w:val="continue"/>
          </w:tcPr>
          <w:p>
            <w:pPr>
              <w:spacing w:after="0"/>
              <w:rPr>
                <w:sz w:val="11"/>
                <w:szCs w:val="11"/>
                <w:color w:val="auto"/>
              </w:rPr>
            </w:pPr>
          </w:p>
        </w:tc>
        <w:tc>
          <w:tcPr>
            <w:tcW w:w="500" w:type="dxa"/>
            <w:vAlign w:val="bottom"/>
          </w:tcPr>
          <w:p>
            <w:pPr>
              <w:spacing w:after="0"/>
              <w:rPr>
                <w:sz w:val="11"/>
                <w:szCs w:val="11"/>
                <w:color w:val="auto"/>
              </w:rPr>
            </w:pPr>
          </w:p>
        </w:tc>
        <w:tc>
          <w:tcPr>
            <w:tcW w:w="8360" w:type="dxa"/>
            <w:vAlign w:val="bottom"/>
            <w:tcBorders>
              <w:right w:val="single" w:sz="8" w:color="929292"/>
            </w:tcBorders>
            <w:vMerge w:val="restart"/>
          </w:tcPr>
          <w:p>
            <w:pPr>
              <w:ind w:left="160"/>
              <w:spacing w:after="0" w:line="162" w:lineRule="exact"/>
              <w:rPr>
                <w:sz w:val="20"/>
                <w:szCs w:val="20"/>
                <w:color w:val="auto"/>
              </w:rPr>
            </w:pPr>
            <w:r>
              <w:rPr>
                <w:rFonts w:ascii="Arial" w:cs="Arial" w:eastAsia="Arial" w:hAnsi="Arial"/>
                <w:sz w:val="16"/>
                <w:szCs w:val="16"/>
                <w:color w:val="auto"/>
              </w:rPr>
              <w:t>at least 3% of the Company's outstanding shares of common stock continuously for at least 3 years can nominate</w:t>
            </w:r>
          </w:p>
        </w:tc>
        <w:tc>
          <w:tcPr>
            <w:tcW w:w="0" w:type="dxa"/>
            <w:vAlign w:val="bottom"/>
          </w:tcPr>
          <w:p>
            <w:pPr>
              <w:spacing w:after="0"/>
              <w:rPr>
                <w:sz w:val="1"/>
                <w:szCs w:val="1"/>
                <w:color w:val="auto"/>
              </w:rPr>
            </w:pPr>
          </w:p>
        </w:tc>
      </w:tr>
      <w:tr>
        <w:trPr>
          <w:trHeight w:val="29"/>
        </w:trPr>
        <w:tc>
          <w:tcPr>
            <w:tcW w:w="2260" w:type="dxa"/>
            <w:vAlign w:val="bottom"/>
            <w:tcBorders>
              <w:left w:val="single" w:sz="8" w:color="929292"/>
              <w:right w:val="single" w:sz="8" w:color="929292"/>
            </w:tcBorders>
          </w:tcPr>
          <w:p>
            <w:pPr>
              <w:spacing w:after="0"/>
              <w:rPr>
                <w:sz w:val="2"/>
                <w:szCs w:val="2"/>
                <w:color w:val="auto"/>
              </w:rPr>
            </w:pPr>
          </w:p>
        </w:tc>
        <w:tc>
          <w:tcPr>
            <w:tcW w:w="500" w:type="dxa"/>
            <w:vAlign w:val="bottom"/>
          </w:tcPr>
          <w:p>
            <w:pPr>
              <w:spacing w:after="0"/>
              <w:rPr>
                <w:sz w:val="2"/>
                <w:szCs w:val="2"/>
                <w:color w:val="auto"/>
              </w:rPr>
            </w:pPr>
          </w:p>
        </w:tc>
        <w:tc>
          <w:tcPr>
            <w:tcW w:w="8360" w:type="dxa"/>
            <w:vAlign w:val="bottom"/>
            <w:tcBorders>
              <w:right w:val="single" w:sz="8" w:color="929292"/>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260" w:type="dxa"/>
            <w:vAlign w:val="bottom"/>
            <w:tcBorders>
              <w:left w:val="single" w:sz="8" w:color="929292"/>
              <w:right w:val="single" w:sz="8" w:color="929292"/>
            </w:tcBorders>
          </w:tcPr>
          <w:p>
            <w:pPr>
              <w:spacing w:after="0"/>
              <w:rPr>
                <w:sz w:val="14"/>
                <w:szCs w:val="14"/>
                <w:color w:val="auto"/>
              </w:rPr>
            </w:pPr>
          </w:p>
        </w:tc>
        <w:tc>
          <w:tcPr>
            <w:tcW w:w="500" w:type="dxa"/>
            <w:vAlign w:val="bottom"/>
          </w:tcPr>
          <w:p>
            <w:pPr>
              <w:spacing w:after="0"/>
              <w:rPr>
                <w:sz w:val="14"/>
                <w:szCs w:val="14"/>
                <w:color w:val="auto"/>
              </w:rPr>
            </w:pPr>
          </w:p>
        </w:tc>
        <w:tc>
          <w:tcPr>
            <w:tcW w:w="8360" w:type="dxa"/>
            <w:vAlign w:val="bottom"/>
            <w:tcBorders>
              <w:right w:val="single" w:sz="8" w:color="929292"/>
            </w:tcBorders>
          </w:tcPr>
          <w:p>
            <w:pPr>
              <w:ind w:left="160"/>
              <w:spacing w:after="0" w:line="162" w:lineRule="exact"/>
              <w:rPr>
                <w:sz w:val="20"/>
                <w:szCs w:val="20"/>
                <w:color w:val="auto"/>
              </w:rPr>
            </w:pPr>
            <w:r>
              <w:rPr>
                <w:rFonts w:ascii="Arial" w:cs="Arial" w:eastAsia="Arial" w:hAnsi="Arial"/>
                <w:sz w:val="16"/>
                <w:szCs w:val="16"/>
                <w:color w:val="auto"/>
              </w:rPr>
              <w:t>and include in the Company's proxy materials eligible director nominees up to the greater of (i) 20% of the</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tcPr>
          <w:p>
            <w:pPr>
              <w:spacing w:after="0"/>
              <w:rPr>
                <w:sz w:val="14"/>
                <w:szCs w:val="14"/>
                <w:color w:val="auto"/>
              </w:rPr>
            </w:pPr>
          </w:p>
        </w:tc>
        <w:tc>
          <w:tcPr>
            <w:tcW w:w="500" w:type="dxa"/>
            <w:vAlign w:val="bottom"/>
          </w:tcPr>
          <w:p>
            <w:pPr>
              <w:spacing w:after="0"/>
              <w:rPr>
                <w:sz w:val="14"/>
                <w:szCs w:val="14"/>
                <w:color w:val="auto"/>
              </w:rPr>
            </w:pPr>
          </w:p>
        </w:tc>
        <w:tc>
          <w:tcPr>
            <w:tcW w:w="8360" w:type="dxa"/>
            <w:vAlign w:val="bottom"/>
            <w:tcBorders>
              <w:right w:val="single" w:sz="8" w:color="929292"/>
            </w:tcBorders>
          </w:tcPr>
          <w:p>
            <w:pPr>
              <w:ind w:left="160"/>
              <w:spacing w:after="0" w:line="162" w:lineRule="exact"/>
              <w:rPr>
                <w:sz w:val="20"/>
                <w:szCs w:val="20"/>
                <w:color w:val="auto"/>
              </w:rPr>
            </w:pPr>
            <w:r>
              <w:rPr>
                <w:rFonts w:ascii="Arial" w:cs="Arial" w:eastAsia="Arial" w:hAnsi="Arial"/>
                <w:sz w:val="16"/>
                <w:szCs w:val="16"/>
                <w:color w:val="auto"/>
              </w:rPr>
              <w:t>number of directors up for election at the Company's annual meeting or (ii) 2 director nominees</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tcPr>
          <w:p>
            <w:pPr>
              <w:spacing w:after="0"/>
              <w:rPr>
                <w:sz w:val="14"/>
                <w:szCs w:val="14"/>
                <w:color w:val="auto"/>
              </w:rPr>
            </w:pPr>
          </w:p>
        </w:tc>
        <w:tc>
          <w:tcPr>
            <w:tcW w:w="8860" w:type="dxa"/>
            <w:vAlign w:val="bottom"/>
            <w:tcBorders>
              <w:right w:val="single" w:sz="8" w:color="929292"/>
            </w:tcBorders>
            <w:gridSpan w:val="2"/>
          </w:tcPr>
          <w:p>
            <w:pPr>
              <w:ind w:left="340"/>
              <w:spacing w:after="0" w:line="162" w:lineRule="exact"/>
              <w:rPr>
                <w:sz w:val="20"/>
                <w:szCs w:val="20"/>
                <w:color w:val="auto"/>
              </w:rPr>
            </w:pPr>
            <w:r>
              <w:rPr>
                <w:rFonts w:ascii="Arial" w:cs="Arial" w:eastAsia="Arial" w:hAnsi="Arial"/>
                <w:sz w:val="16"/>
                <w:szCs w:val="16"/>
                <w:color w:val="auto"/>
              </w:rPr>
              <w:t>•   The Company bylaws permit stockholders to submit binding proposals to amend the bylaws and request a special</w:t>
            </w:r>
          </w:p>
        </w:tc>
        <w:tc>
          <w:tcPr>
            <w:tcW w:w="0" w:type="dxa"/>
            <w:vAlign w:val="bottom"/>
          </w:tcPr>
          <w:p>
            <w:pPr>
              <w:spacing w:after="0"/>
              <w:rPr>
                <w:sz w:val="1"/>
                <w:szCs w:val="1"/>
                <w:color w:val="auto"/>
              </w:rPr>
            </w:pPr>
          </w:p>
        </w:tc>
      </w:tr>
      <w:tr>
        <w:trPr>
          <w:trHeight w:val="215"/>
        </w:trPr>
        <w:tc>
          <w:tcPr>
            <w:tcW w:w="2260" w:type="dxa"/>
            <w:vAlign w:val="bottom"/>
            <w:tcBorders>
              <w:left w:val="single" w:sz="8" w:color="929292"/>
              <w:bottom w:val="single" w:sz="8" w:color="929292"/>
              <w:right w:val="single" w:sz="8" w:color="929292"/>
            </w:tcBorders>
          </w:tcPr>
          <w:p>
            <w:pPr>
              <w:spacing w:after="0"/>
              <w:rPr>
                <w:sz w:val="18"/>
                <w:szCs w:val="18"/>
                <w:color w:val="auto"/>
              </w:rPr>
            </w:pPr>
          </w:p>
        </w:tc>
        <w:tc>
          <w:tcPr>
            <w:tcW w:w="500" w:type="dxa"/>
            <w:vAlign w:val="bottom"/>
            <w:tcBorders>
              <w:bottom w:val="single" w:sz="8" w:color="929292"/>
            </w:tcBorders>
          </w:tcPr>
          <w:p>
            <w:pPr>
              <w:spacing w:after="0"/>
              <w:rPr>
                <w:sz w:val="18"/>
                <w:szCs w:val="18"/>
                <w:color w:val="auto"/>
              </w:rPr>
            </w:pPr>
          </w:p>
        </w:tc>
        <w:tc>
          <w:tcPr>
            <w:tcW w:w="8360" w:type="dxa"/>
            <w:vAlign w:val="bottom"/>
            <w:tcBorders>
              <w:bottom w:val="single" w:sz="8" w:color="929292"/>
              <w:right w:val="single" w:sz="8" w:color="929292"/>
            </w:tcBorders>
          </w:tcPr>
          <w:p>
            <w:pPr>
              <w:ind w:left="160"/>
              <w:spacing w:after="0"/>
              <w:rPr>
                <w:sz w:val="20"/>
                <w:szCs w:val="20"/>
                <w:color w:val="auto"/>
              </w:rPr>
            </w:pPr>
            <w:r>
              <w:rPr>
                <w:rFonts w:ascii="Arial" w:cs="Arial" w:eastAsia="Arial" w:hAnsi="Arial"/>
                <w:sz w:val="16"/>
                <w:szCs w:val="16"/>
                <w:color w:val="auto"/>
              </w:rPr>
              <w:t>meeting</w:t>
            </w:r>
          </w:p>
        </w:tc>
        <w:tc>
          <w:tcPr>
            <w:tcW w:w="0" w:type="dxa"/>
            <w:vAlign w:val="bottom"/>
          </w:tcPr>
          <w:p>
            <w:pPr>
              <w:spacing w:after="0"/>
              <w:rPr>
                <w:sz w:val="1"/>
                <w:szCs w:val="1"/>
                <w:color w:val="auto"/>
              </w:rPr>
            </w:pPr>
          </w:p>
        </w:tc>
      </w:tr>
      <w:tr>
        <w:trPr>
          <w:trHeight w:val="156"/>
        </w:trPr>
        <w:tc>
          <w:tcPr>
            <w:tcW w:w="2260" w:type="dxa"/>
            <w:vAlign w:val="bottom"/>
            <w:tcBorders>
              <w:left w:val="single" w:sz="8" w:color="929292"/>
              <w:right w:val="single" w:sz="8" w:color="929292"/>
            </w:tcBorders>
            <w:shd w:val="clear" w:color="auto" w:fill="E3EAEE"/>
          </w:tcPr>
          <w:p>
            <w:pPr>
              <w:spacing w:after="0"/>
              <w:rPr>
                <w:sz w:val="13"/>
                <w:szCs w:val="13"/>
                <w:color w:val="auto"/>
              </w:rPr>
            </w:pPr>
          </w:p>
        </w:tc>
        <w:tc>
          <w:tcPr>
            <w:tcW w:w="8860" w:type="dxa"/>
            <w:vAlign w:val="bottom"/>
            <w:tcBorders>
              <w:right w:val="single" w:sz="8" w:color="929292"/>
            </w:tcBorders>
            <w:gridSpan w:val="2"/>
            <w:shd w:val="clear" w:color="auto" w:fill="E3EAEE"/>
          </w:tcPr>
          <w:p>
            <w:pPr>
              <w:ind w:left="340"/>
              <w:spacing w:after="0" w:line="156" w:lineRule="exact"/>
              <w:rPr>
                <w:sz w:val="20"/>
                <w:szCs w:val="20"/>
                <w:color w:val="auto"/>
              </w:rPr>
            </w:pPr>
            <w:r>
              <w:rPr>
                <w:rFonts w:ascii="Arial" w:cs="Arial" w:eastAsia="Arial" w:hAnsi="Arial"/>
                <w:sz w:val="16"/>
                <w:szCs w:val="16"/>
                <w:color w:val="auto"/>
              </w:rPr>
              <w:t>•   Provides structured oversight of the Company's corporate strategy and risk management</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shd w:val="clear" w:color="auto" w:fill="E3EAEE"/>
          </w:tcPr>
          <w:p>
            <w:pPr>
              <w:spacing w:after="0"/>
              <w:rPr>
                <w:sz w:val="14"/>
                <w:szCs w:val="14"/>
                <w:color w:val="auto"/>
              </w:rPr>
            </w:pPr>
          </w:p>
        </w:tc>
        <w:tc>
          <w:tcPr>
            <w:tcW w:w="8860" w:type="dxa"/>
            <w:vAlign w:val="bottom"/>
            <w:tcBorders>
              <w:right w:val="single" w:sz="8" w:color="929292"/>
            </w:tcBorders>
            <w:gridSpan w:val="2"/>
            <w:shd w:val="clear" w:color="auto" w:fill="E3EAEE"/>
          </w:tcPr>
          <w:p>
            <w:pPr>
              <w:ind w:left="340"/>
              <w:spacing w:after="0" w:line="162" w:lineRule="exact"/>
              <w:rPr>
                <w:sz w:val="20"/>
                <w:szCs w:val="20"/>
                <w:color w:val="auto"/>
              </w:rPr>
            </w:pPr>
            <w:r>
              <w:rPr>
                <w:rFonts w:ascii="Arial" w:cs="Arial" w:eastAsia="Arial" w:hAnsi="Arial"/>
                <w:sz w:val="16"/>
                <w:szCs w:val="16"/>
                <w:color w:val="auto"/>
              </w:rPr>
              <w:t>•   Conducts an annual board self-evaluation</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vMerge w:val="restart"/>
            <w:shd w:val="clear" w:color="auto" w:fill="E3EAEE"/>
          </w:tcPr>
          <w:p>
            <w:pPr>
              <w:ind w:left="40"/>
              <w:spacing w:after="0"/>
              <w:rPr>
                <w:sz w:val="20"/>
                <w:szCs w:val="20"/>
                <w:color w:val="auto"/>
              </w:rPr>
            </w:pPr>
            <w:r>
              <w:rPr>
                <w:rFonts w:ascii="Arial" w:cs="Arial" w:eastAsia="Arial" w:hAnsi="Arial"/>
                <w:sz w:val="16"/>
                <w:szCs w:val="16"/>
                <w:color w:val="3E474E"/>
              </w:rPr>
              <w:t>Board Oversight</w:t>
            </w:r>
          </w:p>
        </w:tc>
        <w:tc>
          <w:tcPr>
            <w:tcW w:w="8860" w:type="dxa"/>
            <w:vAlign w:val="bottom"/>
            <w:tcBorders>
              <w:right w:val="single" w:sz="8" w:color="929292"/>
            </w:tcBorders>
            <w:gridSpan w:val="2"/>
            <w:shd w:val="clear" w:color="auto" w:fill="E3EAEE"/>
          </w:tcPr>
          <w:p>
            <w:pPr>
              <w:ind w:left="340"/>
              <w:spacing w:after="0" w:line="162" w:lineRule="exact"/>
              <w:rPr>
                <w:sz w:val="20"/>
                <w:szCs w:val="20"/>
                <w:color w:val="auto"/>
              </w:rPr>
            </w:pPr>
            <w:r>
              <w:rPr>
                <w:rFonts w:ascii="Arial" w:cs="Arial" w:eastAsia="Arial" w:hAnsi="Arial"/>
                <w:sz w:val="16"/>
                <w:szCs w:val="16"/>
                <w:color w:val="auto"/>
              </w:rPr>
              <w:t>•   Board and senior management succession planning</w:t>
            </w:r>
          </w:p>
        </w:tc>
        <w:tc>
          <w:tcPr>
            <w:tcW w:w="0" w:type="dxa"/>
            <w:vAlign w:val="bottom"/>
          </w:tcPr>
          <w:p>
            <w:pPr>
              <w:spacing w:after="0"/>
              <w:rPr>
                <w:sz w:val="1"/>
                <w:szCs w:val="1"/>
                <w:color w:val="auto"/>
              </w:rPr>
            </w:pPr>
          </w:p>
        </w:tc>
      </w:tr>
      <w:tr>
        <w:trPr>
          <w:trHeight w:val="133"/>
        </w:trPr>
        <w:tc>
          <w:tcPr>
            <w:tcW w:w="2260" w:type="dxa"/>
            <w:vAlign w:val="bottom"/>
            <w:tcBorders>
              <w:left w:val="single" w:sz="8" w:color="929292"/>
              <w:right w:val="single" w:sz="8" w:color="929292"/>
            </w:tcBorders>
            <w:vMerge w:val="continue"/>
            <w:shd w:val="clear" w:color="auto" w:fill="E3EAEE"/>
          </w:tcPr>
          <w:p>
            <w:pPr>
              <w:spacing w:after="0"/>
              <w:rPr>
                <w:sz w:val="11"/>
                <w:szCs w:val="11"/>
                <w:color w:val="auto"/>
              </w:rPr>
            </w:pPr>
          </w:p>
        </w:tc>
        <w:tc>
          <w:tcPr>
            <w:tcW w:w="8860" w:type="dxa"/>
            <w:vAlign w:val="bottom"/>
            <w:tcBorders>
              <w:right w:val="single" w:sz="8" w:color="929292"/>
            </w:tcBorders>
            <w:gridSpan w:val="2"/>
            <w:vMerge w:val="restart"/>
            <w:shd w:val="clear" w:color="auto" w:fill="E3EAEE"/>
          </w:tcPr>
          <w:p>
            <w:pPr>
              <w:ind w:left="340"/>
              <w:spacing w:after="0" w:line="162" w:lineRule="exact"/>
              <w:rPr>
                <w:sz w:val="20"/>
                <w:szCs w:val="20"/>
                <w:color w:val="auto"/>
              </w:rPr>
            </w:pPr>
            <w:r>
              <w:rPr>
                <w:rFonts w:ascii="Arial" w:cs="Arial" w:eastAsia="Arial" w:hAnsi="Arial"/>
                <w:sz w:val="16"/>
                <w:szCs w:val="16"/>
                <w:color w:val="auto"/>
              </w:rPr>
              <w:t>•   Ethics and compliance program oversight by Audit Committee</w:t>
            </w:r>
          </w:p>
        </w:tc>
        <w:tc>
          <w:tcPr>
            <w:tcW w:w="0" w:type="dxa"/>
            <w:vAlign w:val="bottom"/>
          </w:tcPr>
          <w:p>
            <w:pPr>
              <w:spacing w:after="0"/>
              <w:rPr>
                <w:sz w:val="1"/>
                <w:szCs w:val="1"/>
                <w:color w:val="auto"/>
              </w:rPr>
            </w:pPr>
          </w:p>
        </w:tc>
      </w:tr>
      <w:tr>
        <w:trPr>
          <w:trHeight w:val="29"/>
        </w:trPr>
        <w:tc>
          <w:tcPr>
            <w:tcW w:w="2260" w:type="dxa"/>
            <w:vAlign w:val="bottom"/>
            <w:tcBorders>
              <w:left w:val="single" w:sz="8" w:color="929292"/>
              <w:right w:val="single" w:sz="8" w:color="929292"/>
            </w:tcBorders>
            <w:shd w:val="clear" w:color="auto" w:fill="E3EAEE"/>
          </w:tcPr>
          <w:p>
            <w:pPr>
              <w:spacing w:after="0"/>
              <w:rPr>
                <w:sz w:val="2"/>
                <w:szCs w:val="2"/>
                <w:color w:val="auto"/>
              </w:rPr>
            </w:pPr>
          </w:p>
        </w:tc>
        <w:tc>
          <w:tcPr>
            <w:tcW w:w="8860" w:type="dxa"/>
            <w:vAlign w:val="bottom"/>
            <w:tcBorders>
              <w:right w:val="single" w:sz="8" w:color="929292"/>
            </w:tcBorders>
            <w:gridSpan w:val="2"/>
            <w:vMerge w:val="continue"/>
            <w:shd w:val="clear" w:color="auto" w:fill="E3EA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260" w:type="dxa"/>
            <w:vAlign w:val="bottom"/>
            <w:tcBorders>
              <w:left w:val="single" w:sz="8" w:color="929292"/>
              <w:right w:val="single" w:sz="8" w:color="929292"/>
            </w:tcBorders>
            <w:shd w:val="clear" w:color="auto" w:fill="E3EAEE"/>
          </w:tcPr>
          <w:p>
            <w:pPr>
              <w:spacing w:after="0"/>
              <w:rPr>
                <w:sz w:val="14"/>
                <w:szCs w:val="14"/>
                <w:color w:val="auto"/>
              </w:rPr>
            </w:pPr>
          </w:p>
        </w:tc>
        <w:tc>
          <w:tcPr>
            <w:tcW w:w="8860" w:type="dxa"/>
            <w:vAlign w:val="bottom"/>
            <w:tcBorders>
              <w:right w:val="single" w:sz="8" w:color="929292"/>
            </w:tcBorders>
            <w:gridSpan w:val="2"/>
            <w:shd w:val="clear" w:color="auto" w:fill="E3EAEE"/>
          </w:tcPr>
          <w:p>
            <w:pPr>
              <w:ind w:left="340"/>
              <w:spacing w:after="0" w:line="162" w:lineRule="exact"/>
              <w:rPr>
                <w:sz w:val="20"/>
                <w:szCs w:val="20"/>
                <w:color w:val="auto"/>
              </w:rPr>
            </w:pPr>
            <w:r>
              <w:rPr>
                <w:rFonts w:ascii="Arial" w:cs="Arial" w:eastAsia="Arial" w:hAnsi="Arial"/>
                <w:sz w:val="16"/>
                <w:szCs w:val="16"/>
                <w:color w:val="auto"/>
              </w:rPr>
              <w:t>•   Cybersecurity policy oversight by Audit Committee</w:t>
            </w:r>
          </w:p>
        </w:tc>
        <w:tc>
          <w:tcPr>
            <w:tcW w:w="0" w:type="dxa"/>
            <w:vAlign w:val="bottom"/>
          </w:tcPr>
          <w:p>
            <w:pPr>
              <w:spacing w:after="0"/>
              <w:rPr>
                <w:sz w:val="1"/>
                <w:szCs w:val="1"/>
                <w:color w:val="auto"/>
              </w:rPr>
            </w:pPr>
          </w:p>
        </w:tc>
      </w:tr>
      <w:tr>
        <w:trPr>
          <w:trHeight w:val="215"/>
        </w:trPr>
        <w:tc>
          <w:tcPr>
            <w:tcW w:w="2260" w:type="dxa"/>
            <w:vAlign w:val="bottom"/>
            <w:tcBorders>
              <w:left w:val="single" w:sz="8" w:color="929292"/>
              <w:bottom w:val="single" w:sz="8" w:color="929292"/>
              <w:right w:val="single" w:sz="8" w:color="929292"/>
            </w:tcBorders>
            <w:shd w:val="clear" w:color="auto" w:fill="E3EAEE"/>
          </w:tcPr>
          <w:p>
            <w:pPr>
              <w:spacing w:after="0"/>
              <w:rPr>
                <w:sz w:val="18"/>
                <w:szCs w:val="18"/>
                <w:color w:val="auto"/>
              </w:rPr>
            </w:pPr>
          </w:p>
        </w:tc>
        <w:tc>
          <w:tcPr>
            <w:tcW w:w="8860" w:type="dxa"/>
            <w:vAlign w:val="bottom"/>
            <w:tcBorders>
              <w:bottom w:val="single" w:sz="8" w:color="929292"/>
              <w:right w:val="single" w:sz="8" w:color="929292"/>
            </w:tcBorders>
            <w:gridSpan w:val="2"/>
            <w:shd w:val="clear" w:color="auto" w:fill="E3EAEE"/>
          </w:tcPr>
          <w:p>
            <w:pPr>
              <w:ind w:left="340"/>
              <w:spacing w:after="0"/>
              <w:rPr>
                <w:sz w:val="20"/>
                <w:szCs w:val="20"/>
                <w:color w:val="auto"/>
              </w:rPr>
            </w:pPr>
            <w:r>
              <w:rPr>
                <w:rFonts w:ascii="Arial" w:cs="Arial" w:eastAsia="Arial" w:hAnsi="Arial"/>
                <w:sz w:val="16"/>
                <w:szCs w:val="16"/>
                <w:color w:val="auto"/>
              </w:rPr>
              <w:t>•   Annual enterprise level risk analyses with Board, and oversight by Audit Committee</w:t>
            </w:r>
          </w:p>
        </w:tc>
        <w:tc>
          <w:tcPr>
            <w:tcW w:w="0" w:type="dxa"/>
            <w:vAlign w:val="bottom"/>
          </w:tcPr>
          <w:p>
            <w:pPr>
              <w:spacing w:after="0"/>
              <w:rPr>
                <w:sz w:val="1"/>
                <w:szCs w:val="1"/>
                <w:color w:val="auto"/>
              </w:rPr>
            </w:pPr>
          </w:p>
        </w:tc>
      </w:tr>
      <w:tr>
        <w:trPr>
          <w:trHeight w:val="156"/>
        </w:trPr>
        <w:tc>
          <w:tcPr>
            <w:tcW w:w="2260" w:type="dxa"/>
            <w:vAlign w:val="bottom"/>
            <w:tcBorders>
              <w:left w:val="single" w:sz="8" w:color="929292"/>
              <w:right w:val="single" w:sz="8" w:color="929292"/>
            </w:tcBorders>
          </w:tcPr>
          <w:p>
            <w:pPr>
              <w:spacing w:after="0"/>
              <w:rPr>
                <w:sz w:val="13"/>
                <w:szCs w:val="13"/>
                <w:color w:val="auto"/>
              </w:rPr>
            </w:pPr>
          </w:p>
        </w:tc>
        <w:tc>
          <w:tcPr>
            <w:tcW w:w="8860" w:type="dxa"/>
            <w:vAlign w:val="bottom"/>
            <w:tcBorders>
              <w:right w:val="single" w:sz="8" w:color="929292"/>
            </w:tcBorders>
            <w:gridSpan w:val="2"/>
          </w:tcPr>
          <w:p>
            <w:pPr>
              <w:ind w:left="340"/>
              <w:spacing w:after="0" w:line="156" w:lineRule="exact"/>
              <w:rPr>
                <w:sz w:val="20"/>
                <w:szCs w:val="20"/>
                <w:color w:val="auto"/>
              </w:rPr>
            </w:pPr>
            <w:r>
              <w:rPr>
                <w:rFonts w:ascii="Arial" w:cs="Arial" w:eastAsia="Arial" w:hAnsi="Arial"/>
                <w:sz w:val="16"/>
                <w:szCs w:val="16"/>
                <w:color w:val="auto"/>
              </w:rPr>
              <w:t>•   Maintains stock ownership policy for directors and NEOs and stock retention requirement for directors and NEOs</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vMerge w:val="restart"/>
          </w:tcPr>
          <w:p>
            <w:pPr>
              <w:ind w:left="40"/>
              <w:spacing w:after="0"/>
              <w:rPr>
                <w:sz w:val="20"/>
                <w:szCs w:val="20"/>
                <w:color w:val="auto"/>
              </w:rPr>
            </w:pPr>
            <w:r>
              <w:rPr>
                <w:rFonts w:ascii="Arial" w:cs="Arial" w:eastAsia="Arial" w:hAnsi="Arial"/>
                <w:sz w:val="16"/>
                <w:szCs w:val="16"/>
                <w:color w:val="3E474E"/>
              </w:rPr>
              <w:t>Accountability and</w:t>
            </w:r>
          </w:p>
        </w:tc>
        <w:tc>
          <w:tcPr>
            <w:tcW w:w="500" w:type="dxa"/>
            <w:vAlign w:val="bottom"/>
          </w:tcPr>
          <w:p>
            <w:pPr>
              <w:spacing w:after="0"/>
              <w:rPr>
                <w:sz w:val="14"/>
                <w:szCs w:val="14"/>
                <w:color w:val="auto"/>
              </w:rPr>
            </w:pPr>
          </w:p>
        </w:tc>
        <w:tc>
          <w:tcPr>
            <w:tcW w:w="8360" w:type="dxa"/>
            <w:vAlign w:val="bottom"/>
            <w:tcBorders>
              <w:right w:val="single" w:sz="8" w:color="929292"/>
            </w:tcBorders>
          </w:tcPr>
          <w:p>
            <w:pPr>
              <w:ind w:left="160"/>
              <w:spacing w:after="0" w:line="162" w:lineRule="exact"/>
              <w:rPr>
                <w:sz w:val="20"/>
                <w:szCs w:val="20"/>
                <w:color w:val="auto"/>
              </w:rPr>
            </w:pPr>
            <w:r>
              <w:rPr>
                <w:rFonts w:ascii="Arial" w:cs="Arial" w:eastAsia="Arial" w:hAnsi="Arial"/>
                <w:sz w:val="16"/>
                <w:szCs w:val="16"/>
                <w:color w:val="auto"/>
              </w:rPr>
              <w:t>who have not achieved the applicable stock ownership level</w:t>
            </w:r>
          </w:p>
        </w:tc>
        <w:tc>
          <w:tcPr>
            <w:tcW w:w="0" w:type="dxa"/>
            <w:vAlign w:val="bottom"/>
          </w:tcPr>
          <w:p>
            <w:pPr>
              <w:spacing w:after="0"/>
              <w:rPr>
                <w:sz w:val="1"/>
                <w:szCs w:val="1"/>
                <w:color w:val="auto"/>
              </w:rPr>
            </w:pPr>
          </w:p>
        </w:tc>
      </w:tr>
      <w:tr>
        <w:trPr>
          <w:trHeight w:val="94"/>
        </w:trPr>
        <w:tc>
          <w:tcPr>
            <w:tcW w:w="2260" w:type="dxa"/>
            <w:vAlign w:val="bottom"/>
            <w:tcBorders>
              <w:left w:val="single" w:sz="8" w:color="929292"/>
              <w:right w:val="single" w:sz="8" w:color="929292"/>
            </w:tcBorders>
            <w:vMerge w:val="continue"/>
          </w:tcPr>
          <w:p>
            <w:pPr>
              <w:spacing w:after="0"/>
              <w:rPr>
                <w:sz w:val="8"/>
                <w:szCs w:val="8"/>
                <w:color w:val="auto"/>
              </w:rPr>
            </w:pPr>
          </w:p>
        </w:tc>
        <w:tc>
          <w:tcPr>
            <w:tcW w:w="8860" w:type="dxa"/>
            <w:vAlign w:val="bottom"/>
            <w:tcBorders>
              <w:right w:val="single" w:sz="8" w:color="929292"/>
            </w:tcBorders>
            <w:gridSpan w:val="2"/>
            <w:vMerge w:val="restart"/>
          </w:tcPr>
          <w:p>
            <w:pPr>
              <w:ind w:left="340"/>
              <w:spacing w:after="0" w:line="162" w:lineRule="exact"/>
              <w:rPr>
                <w:sz w:val="20"/>
                <w:szCs w:val="20"/>
                <w:color w:val="auto"/>
              </w:rPr>
            </w:pPr>
            <w:r>
              <w:rPr>
                <w:rFonts w:ascii="Arial" w:cs="Arial" w:eastAsia="Arial" w:hAnsi="Arial"/>
                <w:sz w:val="16"/>
                <w:szCs w:val="16"/>
                <w:color w:val="auto"/>
              </w:rPr>
              <w:t>•   Prohibition of hedging and pledging Company stock by directors and NEOs pursuant to our Anti-Hedging Policy</w:t>
            </w:r>
          </w:p>
        </w:tc>
        <w:tc>
          <w:tcPr>
            <w:tcW w:w="0" w:type="dxa"/>
            <w:vAlign w:val="bottom"/>
          </w:tcPr>
          <w:p>
            <w:pPr>
              <w:spacing w:after="0"/>
              <w:rPr>
                <w:sz w:val="1"/>
                <w:szCs w:val="1"/>
                <w:color w:val="auto"/>
              </w:rPr>
            </w:pPr>
          </w:p>
        </w:tc>
      </w:tr>
      <w:tr>
        <w:trPr>
          <w:trHeight w:val="68"/>
        </w:trPr>
        <w:tc>
          <w:tcPr>
            <w:tcW w:w="2260" w:type="dxa"/>
            <w:vAlign w:val="bottom"/>
            <w:tcBorders>
              <w:left w:val="single" w:sz="8" w:color="929292"/>
              <w:right w:val="single" w:sz="8" w:color="929292"/>
            </w:tcBorders>
            <w:vMerge w:val="restart"/>
          </w:tcPr>
          <w:p>
            <w:pPr>
              <w:ind w:left="40"/>
              <w:spacing w:after="0"/>
              <w:rPr>
                <w:sz w:val="20"/>
                <w:szCs w:val="20"/>
                <w:color w:val="auto"/>
              </w:rPr>
            </w:pPr>
            <w:r>
              <w:rPr>
                <w:rFonts w:ascii="Arial" w:cs="Arial" w:eastAsia="Arial" w:hAnsi="Arial"/>
                <w:sz w:val="16"/>
                <w:szCs w:val="16"/>
                <w:color w:val="3E474E"/>
              </w:rPr>
              <w:t>Governance Practice</w:t>
            </w:r>
          </w:p>
        </w:tc>
        <w:tc>
          <w:tcPr>
            <w:tcW w:w="8860" w:type="dxa"/>
            <w:vAlign w:val="bottom"/>
            <w:tcBorders>
              <w:right w:val="single" w:sz="8" w:color="929292"/>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vMerge w:val="continue"/>
          </w:tcPr>
          <w:p>
            <w:pPr>
              <w:spacing w:after="0"/>
              <w:rPr>
                <w:sz w:val="14"/>
                <w:szCs w:val="14"/>
                <w:color w:val="auto"/>
              </w:rPr>
            </w:pPr>
          </w:p>
        </w:tc>
        <w:tc>
          <w:tcPr>
            <w:tcW w:w="500" w:type="dxa"/>
            <w:vAlign w:val="bottom"/>
          </w:tcPr>
          <w:p>
            <w:pPr>
              <w:ind w:left="340"/>
              <w:spacing w:after="0" w:line="162" w:lineRule="exact"/>
              <w:rPr>
                <w:sz w:val="20"/>
                <w:szCs w:val="20"/>
                <w:color w:val="auto"/>
              </w:rPr>
            </w:pPr>
            <w:r>
              <w:rPr>
                <w:rFonts w:ascii="Arial" w:cs="Arial" w:eastAsia="Arial" w:hAnsi="Arial"/>
                <w:sz w:val="16"/>
                <w:szCs w:val="16"/>
                <w:color w:val="auto"/>
              </w:rPr>
              <w:t>•</w:t>
            </w:r>
          </w:p>
        </w:tc>
        <w:tc>
          <w:tcPr>
            <w:tcW w:w="8360" w:type="dxa"/>
            <w:vAlign w:val="bottom"/>
            <w:tcBorders>
              <w:right w:val="single" w:sz="8" w:color="929292"/>
            </w:tcBorders>
          </w:tcPr>
          <w:p>
            <w:pPr>
              <w:ind w:left="120"/>
              <w:spacing w:after="0" w:line="162" w:lineRule="exact"/>
              <w:rPr>
                <w:sz w:val="20"/>
                <w:szCs w:val="20"/>
                <w:color w:val="auto"/>
              </w:rPr>
            </w:pPr>
            <w:r>
              <w:rPr>
                <w:rFonts w:ascii="Arial" w:cs="Arial" w:eastAsia="Arial" w:hAnsi="Arial"/>
                <w:sz w:val="16"/>
                <w:szCs w:val="16"/>
                <w:color w:val="auto"/>
              </w:rPr>
              <w:t>Maintains Incentive Compensation Clawback Policy</w:t>
            </w:r>
          </w:p>
        </w:tc>
        <w:tc>
          <w:tcPr>
            <w:tcW w:w="0" w:type="dxa"/>
            <w:vAlign w:val="bottom"/>
          </w:tcPr>
          <w:p>
            <w:pPr>
              <w:spacing w:after="0"/>
              <w:rPr>
                <w:sz w:val="1"/>
                <w:szCs w:val="1"/>
                <w:color w:val="auto"/>
              </w:rPr>
            </w:pPr>
          </w:p>
        </w:tc>
      </w:tr>
      <w:tr>
        <w:trPr>
          <w:trHeight w:val="215"/>
        </w:trPr>
        <w:tc>
          <w:tcPr>
            <w:tcW w:w="2260" w:type="dxa"/>
            <w:vAlign w:val="bottom"/>
            <w:tcBorders>
              <w:left w:val="single" w:sz="8" w:color="929292"/>
              <w:bottom w:val="single" w:sz="8" w:color="929292"/>
              <w:right w:val="single" w:sz="8" w:color="929292"/>
            </w:tcBorders>
          </w:tcPr>
          <w:p>
            <w:pPr>
              <w:spacing w:after="0"/>
              <w:rPr>
                <w:sz w:val="18"/>
                <w:szCs w:val="18"/>
                <w:color w:val="auto"/>
              </w:rPr>
            </w:pPr>
          </w:p>
        </w:tc>
        <w:tc>
          <w:tcPr>
            <w:tcW w:w="8860" w:type="dxa"/>
            <w:vAlign w:val="bottom"/>
            <w:tcBorders>
              <w:bottom w:val="single" w:sz="8" w:color="929292"/>
              <w:right w:val="single" w:sz="8" w:color="929292"/>
            </w:tcBorders>
            <w:gridSpan w:val="2"/>
          </w:tcPr>
          <w:p>
            <w:pPr>
              <w:ind w:left="340"/>
              <w:spacing w:after="0"/>
              <w:rPr>
                <w:sz w:val="20"/>
                <w:szCs w:val="20"/>
                <w:color w:val="auto"/>
              </w:rPr>
            </w:pPr>
            <w:r>
              <w:rPr>
                <w:rFonts w:ascii="Arial" w:cs="Arial" w:eastAsia="Arial" w:hAnsi="Arial"/>
                <w:sz w:val="16"/>
                <w:szCs w:val="16"/>
                <w:color w:val="auto"/>
              </w:rPr>
              <w:t>•   Maintains Code of Business Conduct and Ethics applicable to all directors, officers, employees, and vendors</w:t>
            </w:r>
          </w:p>
        </w:tc>
        <w:tc>
          <w:tcPr>
            <w:tcW w:w="0" w:type="dxa"/>
            <w:vAlign w:val="bottom"/>
          </w:tcPr>
          <w:p>
            <w:pPr>
              <w:spacing w:after="0"/>
              <w:rPr>
                <w:sz w:val="1"/>
                <w:szCs w:val="1"/>
                <w:color w:val="auto"/>
              </w:rPr>
            </w:pPr>
          </w:p>
        </w:tc>
      </w:tr>
      <w:tr>
        <w:trPr>
          <w:trHeight w:val="156"/>
        </w:trPr>
        <w:tc>
          <w:tcPr>
            <w:tcW w:w="2260" w:type="dxa"/>
            <w:vAlign w:val="bottom"/>
            <w:tcBorders>
              <w:left w:val="single" w:sz="8" w:color="929292"/>
              <w:right w:val="single" w:sz="8" w:color="929292"/>
            </w:tcBorders>
            <w:shd w:val="clear" w:color="auto" w:fill="E3EAEE"/>
          </w:tcPr>
          <w:p>
            <w:pPr>
              <w:spacing w:after="0"/>
              <w:rPr>
                <w:sz w:val="13"/>
                <w:szCs w:val="13"/>
                <w:color w:val="auto"/>
              </w:rPr>
            </w:pPr>
          </w:p>
        </w:tc>
        <w:tc>
          <w:tcPr>
            <w:tcW w:w="8860" w:type="dxa"/>
            <w:vAlign w:val="bottom"/>
            <w:tcBorders>
              <w:right w:val="single" w:sz="8" w:color="929292"/>
            </w:tcBorders>
            <w:gridSpan w:val="2"/>
            <w:shd w:val="clear" w:color="auto" w:fill="E3EAEE"/>
          </w:tcPr>
          <w:p>
            <w:pPr>
              <w:ind w:left="340"/>
              <w:spacing w:after="0" w:line="156" w:lineRule="exact"/>
              <w:rPr>
                <w:sz w:val="20"/>
                <w:szCs w:val="20"/>
                <w:color w:val="auto"/>
              </w:rPr>
            </w:pPr>
            <w:r>
              <w:rPr>
                <w:rFonts w:ascii="Arial" w:cs="Arial" w:eastAsia="Arial" w:hAnsi="Arial"/>
                <w:sz w:val="16"/>
                <w:szCs w:val="16"/>
                <w:color w:val="auto"/>
              </w:rPr>
              <w:t>•   Provides short-term incentive opportunities for the Company's NEOs based primarily on financial and operating</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vMerge w:val="restart"/>
            <w:shd w:val="clear" w:color="auto" w:fill="E3EAEE"/>
          </w:tcPr>
          <w:p>
            <w:pPr>
              <w:ind w:left="40"/>
              <w:spacing w:after="0"/>
              <w:rPr>
                <w:sz w:val="20"/>
                <w:szCs w:val="20"/>
                <w:color w:val="auto"/>
              </w:rPr>
            </w:pPr>
            <w:r>
              <w:rPr>
                <w:rFonts w:ascii="Arial" w:cs="Arial" w:eastAsia="Arial" w:hAnsi="Arial"/>
                <w:sz w:val="16"/>
                <w:szCs w:val="16"/>
                <w:color w:val="3E474E"/>
              </w:rPr>
              <w:t>Executive Compensation</w:t>
            </w:r>
          </w:p>
        </w:tc>
        <w:tc>
          <w:tcPr>
            <w:tcW w:w="500" w:type="dxa"/>
            <w:vAlign w:val="bottom"/>
            <w:vMerge w:val="restart"/>
            <w:shd w:val="clear" w:color="auto" w:fill="E3EAEE"/>
          </w:tcPr>
          <w:p>
            <w:pPr>
              <w:ind w:left="340"/>
              <w:spacing w:after="0"/>
              <w:rPr>
                <w:sz w:val="20"/>
                <w:szCs w:val="20"/>
                <w:color w:val="auto"/>
              </w:rPr>
            </w:pPr>
            <w:r>
              <w:rPr>
                <w:rFonts w:ascii="Arial" w:cs="Arial" w:eastAsia="Arial" w:hAnsi="Arial"/>
                <w:sz w:val="16"/>
                <w:szCs w:val="16"/>
                <w:color w:val="auto"/>
              </w:rPr>
              <w:t>•</w:t>
            </w:r>
          </w:p>
        </w:tc>
        <w:tc>
          <w:tcPr>
            <w:tcW w:w="8360" w:type="dxa"/>
            <w:vAlign w:val="bottom"/>
            <w:tcBorders>
              <w:right w:val="single" w:sz="8" w:color="929292"/>
            </w:tcBorders>
            <w:shd w:val="clear" w:color="auto" w:fill="E3EAEE"/>
          </w:tcPr>
          <w:p>
            <w:pPr>
              <w:ind w:left="160"/>
              <w:spacing w:after="0" w:line="162" w:lineRule="exact"/>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vMerge w:val="continue"/>
            <w:shd w:val="clear" w:color="auto" w:fill="E3EAEE"/>
          </w:tcPr>
          <w:p>
            <w:pPr>
              <w:spacing w:after="0"/>
              <w:rPr>
                <w:sz w:val="14"/>
                <w:szCs w:val="14"/>
                <w:color w:val="auto"/>
              </w:rPr>
            </w:pPr>
          </w:p>
        </w:tc>
        <w:tc>
          <w:tcPr>
            <w:tcW w:w="500" w:type="dxa"/>
            <w:vAlign w:val="bottom"/>
            <w:vMerge w:val="continue"/>
            <w:shd w:val="clear" w:color="auto" w:fill="E3EAEE"/>
          </w:tcPr>
          <w:p>
            <w:pPr>
              <w:spacing w:after="0"/>
              <w:rPr>
                <w:sz w:val="14"/>
                <w:szCs w:val="14"/>
                <w:color w:val="auto"/>
              </w:rPr>
            </w:pPr>
          </w:p>
        </w:tc>
        <w:tc>
          <w:tcPr>
            <w:tcW w:w="8360" w:type="dxa"/>
            <w:vAlign w:val="bottom"/>
            <w:tcBorders>
              <w:right w:val="single" w:sz="8" w:color="929292"/>
            </w:tcBorders>
            <w:shd w:val="clear" w:color="auto" w:fill="E3EAEE"/>
          </w:tcPr>
          <w:p>
            <w:pPr>
              <w:ind w:left="120"/>
              <w:spacing w:after="0" w:line="162" w:lineRule="exact"/>
              <w:rPr>
                <w:sz w:val="20"/>
                <w:szCs w:val="20"/>
                <w:color w:val="auto"/>
              </w:rPr>
            </w:pPr>
            <w:r>
              <w:rPr>
                <w:rFonts w:ascii="Arial" w:cs="Arial" w:eastAsia="Arial" w:hAnsi="Arial"/>
                <w:sz w:val="16"/>
                <w:szCs w:val="16"/>
                <w:color w:val="auto"/>
              </w:rPr>
              <w:t>Awards long-term incentives for NEOs largely based on relative total shareholder return (TSR)</w:t>
            </w:r>
          </w:p>
        </w:tc>
        <w:tc>
          <w:tcPr>
            <w:tcW w:w="0" w:type="dxa"/>
            <w:vAlign w:val="bottom"/>
          </w:tcPr>
          <w:p>
            <w:pPr>
              <w:spacing w:after="0"/>
              <w:rPr>
                <w:sz w:val="1"/>
                <w:szCs w:val="1"/>
                <w:color w:val="auto"/>
              </w:rPr>
            </w:pPr>
          </w:p>
        </w:tc>
      </w:tr>
      <w:tr>
        <w:trPr>
          <w:trHeight w:val="162"/>
        </w:trPr>
        <w:tc>
          <w:tcPr>
            <w:tcW w:w="2260" w:type="dxa"/>
            <w:vAlign w:val="bottom"/>
            <w:tcBorders>
              <w:left w:val="single" w:sz="8" w:color="929292"/>
              <w:right w:val="single" w:sz="8" w:color="929292"/>
            </w:tcBorders>
            <w:shd w:val="clear" w:color="auto" w:fill="E3EAEE"/>
          </w:tcPr>
          <w:p>
            <w:pPr>
              <w:spacing w:after="0"/>
              <w:rPr>
                <w:sz w:val="14"/>
                <w:szCs w:val="14"/>
                <w:color w:val="auto"/>
              </w:rPr>
            </w:pPr>
          </w:p>
        </w:tc>
        <w:tc>
          <w:tcPr>
            <w:tcW w:w="8860" w:type="dxa"/>
            <w:vAlign w:val="bottom"/>
            <w:tcBorders>
              <w:right w:val="single" w:sz="8" w:color="929292"/>
            </w:tcBorders>
            <w:gridSpan w:val="2"/>
            <w:shd w:val="clear" w:color="auto" w:fill="E3EAEE"/>
          </w:tcPr>
          <w:p>
            <w:pPr>
              <w:ind w:left="340"/>
              <w:spacing w:after="0" w:line="162" w:lineRule="exact"/>
              <w:rPr>
                <w:sz w:val="20"/>
                <w:szCs w:val="20"/>
                <w:color w:val="auto"/>
              </w:rPr>
            </w:pPr>
            <w:r>
              <w:rPr>
                <w:rFonts w:ascii="Arial" w:cs="Arial" w:eastAsia="Arial" w:hAnsi="Arial"/>
                <w:sz w:val="16"/>
                <w:szCs w:val="16"/>
                <w:color w:val="auto"/>
              </w:rPr>
              <w:t>•   Conducts annual risk assessment of executive compensation program</w:t>
            </w:r>
          </w:p>
        </w:tc>
        <w:tc>
          <w:tcPr>
            <w:tcW w:w="0" w:type="dxa"/>
            <w:vAlign w:val="bottom"/>
          </w:tcPr>
          <w:p>
            <w:pPr>
              <w:spacing w:after="0"/>
              <w:rPr>
                <w:sz w:val="1"/>
                <w:szCs w:val="1"/>
                <w:color w:val="auto"/>
              </w:rPr>
            </w:pPr>
          </w:p>
        </w:tc>
      </w:tr>
      <w:tr>
        <w:trPr>
          <w:trHeight w:val="215"/>
        </w:trPr>
        <w:tc>
          <w:tcPr>
            <w:tcW w:w="2260" w:type="dxa"/>
            <w:vAlign w:val="bottom"/>
            <w:tcBorders>
              <w:left w:val="single" w:sz="8" w:color="929292"/>
              <w:bottom w:val="single" w:sz="8" w:color="929292"/>
              <w:right w:val="single" w:sz="8" w:color="929292"/>
            </w:tcBorders>
            <w:shd w:val="clear" w:color="auto" w:fill="E3EAEE"/>
          </w:tcPr>
          <w:p>
            <w:pPr>
              <w:spacing w:after="0"/>
              <w:rPr>
                <w:sz w:val="18"/>
                <w:szCs w:val="18"/>
                <w:color w:val="auto"/>
              </w:rPr>
            </w:pPr>
          </w:p>
        </w:tc>
        <w:tc>
          <w:tcPr>
            <w:tcW w:w="8860" w:type="dxa"/>
            <w:vAlign w:val="bottom"/>
            <w:tcBorders>
              <w:bottom w:val="single" w:sz="8" w:color="929292"/>
              <w:right w:val="single" w:sz="8" w:color="929292"/>
            </w:tcBorders>
            <w:gridSpan w:val="2"/>
            <w:shd w:val="clear" w:color="auto" w:fill="E3EAEE"/>
          </w:tcPr>
          <w:p>
            <w:pPr>
              <w:ind w:left="340"/>
              <w:spacing w:after="0"/>
              <w:rPr>
                <w:sz w:val="20"/>
                <w:szCs w:val="20"/>
                <w:color w:val="auto"/>
              </w:rPr>
            </w:pPr>
            <w:r>
              <w:rPr>
                <w:rFonts w:ascii="Arial" w:cs="Arial" w:eastAsia="Arial" w:hAnsi="Arial"/>
                <w:sz w:val="16"/>
                <w:szCs w:val="16"/>
                <w:color w:val="auto"/>
              </w:rPr>
              <w:t>•   Allocates a significant portion of target incentive opportunities to at-risk, variable incentives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1478A3"/>
        </w:rPr>
        <w:t>Board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45085</wp:posOffset>
            </wp:positionV>
            <wp:extent cx="5760720" cy="2477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308"/>
              <w:spacing w:after="0"/>
              <w:rPr>
                <w:sz w:val="20"/>
                <w:szCs w:val="20"/>
                <w:color w:val="auto"/>
              </w:rPr>
            </w:pPr>
            <w:r>
              <w:rPr>
                <w:rFonts w:ascii="Arial" w:cs="Arial" w:eastAsia="Arial" w:hAnsi="Arial"/>
                <w:sz w:val="14"/>
                <w:szCs w:val="14"/>
                <w:color w:val="747C83"/>
              </w:rPr>
              <w:t>3</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747C83"/>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1478A3"/>
        </w:rPr>
        <w:t>Compensation Highlights</w:t>
      </w:r>
    </w:p>
    <w:p>
      <w:pPr>
        <w:spacing w:after="0" w:line="5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3E474E"/>
        </w:rPr>
        <w:t>As part of the year-end 2024 compensation process, and in connection with the Company’s succession planning efforts and leadership transition, the Compensation Committee undertook a deliberate and comprehensive review of our overall compensation program. This review was conducted with a clear intent to ensure strong alignment with stockholder interests and to support the Company’s long-term strategic and financial objectives. The Committee prioritized a market-based approach, evaluating competitive benchmarks and external best practices in determining both target compensation levels and the overall program design. As a result, enhancements were made to better position the program to drive long-term value creation, reward sustained performance, reinforce leadership accountability, and support the Company’s future growth and success.</w:t>
      </w:r>
    </w:p>
    <w:p>
      <w:pPr>
        <w:spacing w:after="0" w:line="217"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3E474E"/>
        </w:rPr>
        <w:t>In conducting this review, the Committee focused on transparency, governance, and alignment with long-term stockholder value, with an emphasis on total shareholder return (TSR) as a key measure of performance. See Compensation Discussion and Analysis for the specific enhancements made to the program.</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color w:val="1478A3"/>
        </w:rPr>
        <w:t>Stakeholder Engagement Highlights</w:t>
      </w:r>
    </w:p>
    <w:p>
      <w:pPr>
        <w:spacing w:after="0" w:line="70"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3E474E"/>
        </w:rPr>
        <w:t>We believe active engagement with our stakeholders is essential to long-term value creation and informed decision-making. The Company maintains an ongoing dialogue with a broad range of stakeholders, including stockholders, lenders, tenants, employees, partners, and the communities in which we operate. These engagements provide valuable insight into stakeholder priorities, market trends, operational considerations, and emerging risks and opportunities.</w:t>
      </w:r>
    </w:p>
    <w:p>
      <w:pPr>
        <w:spacing w:after="0" w:line="20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3E474E"/>
        </w:rPr>
        <w:t>Engagement with stockholders and lenders occurs through regular communications, meetings, and disclosures, allowing us to understand investor perspectives and maintain transparency regarding our strategy, performance, and governance practices. We engage tenants and partners through structured communications, collaboration, and feedback mechanisms to support strong relationships and aligned outcomes. Employee engagement is supported through ongoing communication, performance discussions, and opportunities for feedback, reinforcing our culture and operational effectiveness. Additionally, we seek to be a responsible corporate citizens by engaging with local communities, supporting initiatives aligned with our values, and considering community impact as part of our decision-making processes. Input from these stakeholder groups is shared, as appropriate, with management and the Board to inform oversight and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308"/>
              <w:spacing w:after="0"/>
              <w:rPr>
                <w:sz w:val="20"/>
                <w:szCs w:val="20"/>
                <w:color w:val="auto"/>
              </w:rPr>
            </w:pPr>
            <w:r>
              <w:rPr>
                <w:rFonts w:ascii="Arial" w:cs="Arial" w:eastAsia="Arial" w:hAnsi="Arial"/>
                <w:sz w:val="14"/>
                <w:szCs w:val="14"/>
                <w:color w:val="747C83"/>
              </w:rPr>
              <w:t>4</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747C83"/>
        </w:rPr>
        <w:t>About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About The Meeting</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1478A3"/>
        </w:rPr>
        <w:t>Why am I receiving this Proxy Statement?</w:t>
      </w:r>
    </w:p>
    <w:p>
      <w:pPr>
        <w:spacing w:after="0" w:line="56"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3E474E"/>
        </w:rPr>
        <w:t>This Proxy Statement contains information related to the solicitation of proxies in connection with our 2026 Annual Meeting of Stockholders (the “Annual Meeting”), which will be held in a virtual-only meeting format, on June 17, 2026, at 9:00 a.m. Eastern Time, for the purposes stated in the accompanying Notice of Annual Meeting of Stockholders (the "Notice"). This solicitation is made by AH Realty Trust, Inc. on behalf of our Board of Directors (also referred to as the “Board” in this Proxy Statement).</w:t>
      </w:r>
    </w:p>
    <w:p>
      <w:pPr>
        <w:spacing w:after="0" w:line="21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3E474E"/>
        </w:rPr>
        <w:t>We have elected to provide access to our proxy materials online. Accordingly, we are sending the Notice to our stockholders of record on April 24, 2026 (the “Record Date”). All stockholders will have the ability to access the proxy materials on the website referred to in the Notice or to request to receive a printed set of the proxy materials. Instructions on how to request a printed copy by mail or electronically may be found in the Notice and on the website referred to in the Notice, including an option to request paper copies on an ongoing basis. On or about April 30, 2026, we intend to make this Proxy Statement available online and to mail the Notice to all stockholders entitled to vote at the Annual Meeting. We intend to mail this Proxy Statement, together with a proxy card, to those stockholders entitled to vote at the Annual Meeting who have properly requested paper copies of such materials, within three business days of such request.</w:t>
      </w:r>
    </w:p>
    <w:p>
      <w:pPr>
        <w:spacing w:after="0" w:line="200" w:lineRule="exact"/>
        <w:rPr>
          <w:sz w:val="20"/>
          <w:szCs w:val="20"/>
          <w:color w:val="auto"/>
        </w:rPr>
      </w:pP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3E474E"/>
        </w:rPr>
        <w:t>The Notice of Annual Meeting of Stockholders, this Proxy Statement, the proxy card sample, and our 2025 Annual Report to Stockholders/Form 10-K for the year ended December 31, 2025 are available at www.proxyvote.com and may also be accessed through our investor relations website at https://ir.ahrealtytrust.com. You are encouraged to access and review all of the important information contained in the proxy materials before voting.</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1478A3"/>
        </w:rPr>
        <w:t>What am I being asked to vote 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3E474E"/>
        </w:rPr>
        <w:t>You are being asked to vote on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403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90" w:lineRule="exact"/>
        <w:rPr>
          <w:sz w:val="20"/>
          <w:szCs w:val="20"/>
          <w:color w:val="auto"/>
        </w:rPr>
      </w:pPr>
    </w:p>
    <w:p>
      <w:pPr>
        <w:ind w:left="560"/>
        <w:spacing w:after="0"/>
        <w:rPr>
          <w:sz w:val="20"/>
          <w:szCs w:val="20"/>
          <w:color w:val="auto"/>
        </w:rPr>
      </w:pPr>
      <w:r>
        <w:rPr>
          <w:rFonts w:ascii="Arial" w:cs="Arial" w:eastAsia="Arial" w:hAnsi="Arial"/>
          <w:sz w:val="28"/>
          <w:szCs w:val="28"/>
          <w:b w:val="1"/>
          <w:bCs w:val="1"/>
          <w:color w:val="1478A3"/>
        </w:rPr>
        <w:t>Proposal 1</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28"/>
          <w:szCs w:val="28"/>
          <w:b w:val="1"/>
          <w:bCs w:val="1"/>
          <w:color w:val="1478A3"/>
        </w:rPr>
        <w:t>Proposal 2</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28"/>
          <w:szCs w:val="28"/>
          <w:b w:val="1"/>
          <w:bCs w:val="1"/>
          <w:color w:val="1478A3"/>
        </w:rPr>
        <w:t>Proposal 3</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60" w:type="dxa"/>
            <w:vAlign w:val="bottom"/>
            <w:vMerge w:val="restart"/>
          </w:tcPr>
          <w:p>
            <w:pPr>
              <w:jc w:val="center"/>
              <w:ind w:right="19"/>
              <w:spacing w:after="0"/>
              <w:rPr>
                <w:sz w:val="20"/>
                <w:szCs w:val="20"/>
                <w:color w:val="auto"/>
              </w:rPr>
            </w:pPr>
            <w:r>
              <w:rPr>
                <w:rFonts w:ascii="Arial" w:cs="Arial" w:eastAsia="Arial" w:hAnsi="Arial"/>
                <w:sz w:val="16"/>
                <w:szCs w:val="16"/>
                <w:color w:val="3E474E"/>
              </w:rPr>
              <w:t>Election of Directors</w:t>
            </w:r>
          </w:p>
        </w:tc>
        <w:tc>
          <w:tcPr>
            <w:tcW w:w="6360" w:type="dxa"/>
            <w:vAlign w:val="bottom"/>
          </w:tcPr>
          <w:p>
            <w:pPr>
              <w:ind w:left="80"/>
              <w:spacing w:after="0"/>
              <w:rPr>
                <w:sz w:val="20"/>
                <w:szCs w:val="20"/>
                <w:color w:val="auto"/>
              </w:rPr>
            </w:pPr>
            <w:r>
              <w:rPr>
                <w:rFonts w:ascii="Arial" w:cs="Arial" w:eastAsia="Arial" w:hAnsi="Arial"/>
                <w:sz w:val="16"/>
                <w:szCs w:val="16"/>
                <w:color w:val="3E474E"/>
              </w:rPr>
              <w:t>The election of the nine director nominees named in this Proxy Statement, each for a</w:t>
            </w:r>
          </w:p>
        </w:tc>
        <w:tc>
          <w:tcPr>
            <w:tcW w:w="0" w:type="dxa"/>
            <w:vAlign w:val="bottom"/>
          </w:tcPr>
          <w:p>
            <w:pPr>
              <w:spacing w:after="0"/>
              <w:rPr>
                <w:sz w:val="1"/>
                <w:szCs w:val="1"/>
                <w:color w:val="auto"/>
              </w:rPr>
            </w:pPr>
          </w:p>
        </w:tc>
      </w:tr>
      <w:tr>
        <w:trPr>
          <w:trHeight w:val="189"/>
        </w:trPr>
        <w:tc>
          <w:tcPr>
            <w:tcW w:w="2060" w:type="dxa"/>
            <w:vAlign w:val="bottom"/>
            <w:vMerge w:val="continue"/>
          </w:tcPr>
          <w:p>
            <w:pPr>
              <w:spacing w:after="0"/>
              <w:rPr>
                <w:sz w:val="16"/>
                <w:szCs w:val="16"/>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3E474E"/>
              </w:rPr>
              <w:t>term expiring at the 2027 annual meeting of stockholders, and until his or her successor</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3E474E"/>
              </w:rPr>
              <w:t>is duly elected and qualifies;</w:t>
            </w:r>
          </w:p>
        </w:tc>
        <w:tc>
          <w:tcPr>
            <w:tcW w:w="0" w:type="dxa"/>
            <w:vAlign w:val="bottom"/>
          </w:tcPr>
          <w:p>
            <w:pPr>
              <w:spacing w:after="0"/>
              <w:rPr>
                <w:sz w:val="1"/>
                <w:szCs w:val="1"/>
                <w:color w:val="auto"/>
              </w:rPr>
            </w:pPr>
          </w:p>
        </w:tc>
      </w:tr>
      <w:tr>
        <w:trPr>
          <w:trHeight w:val="231"/>
        </w:trPr>
        <w:tc>
          <w:tcPr>
            <w:tcW w:w="2060" w:type="dxa"/>
            <w:vAlign w:val="bottom"/>
          </w:tcPr>
          <w:p>
            <w:pPr>
              <w:jc w:val="center"/>
              <w:ind w:right="79"/>
              <w:spacing w:after="0"/>
              <w:rPr>
                <w:sz w:val="20"/>
                <w:szCs w:val="20"/>
                <w:color w:val="auto"/>
              </w:rPr>
            </w:pPr>
            <w:r>
              <w:rPr>
                <w:rFonts w:ascii="Arial" w:cs="Arial" w:eastAsia="Arial" w:hAnsi="Arial"/>
                <w:sz w:val="16"/>
                <w:szCs w:val="16"/>
                <w:color w:val="3E474E"/>
              </w:rPr>
              <w:t>Ratification of</w:t>
            </w:r>
          </w:p>
        </w:tc>
        <w:tc>
          <w:tcPr>
            <w:tcW w:w="6360" w:type="dxa"/>
            <w:vAlign w:val="bottom"/>
          </w:tcPr>
          <w:p>
            <w:pPr>
              <w:ind w:left="80"/>
              <w:spacing w:after="0"/>
              <w:rPr>
                <w:sz w:val="20"/>
                <w:szCs w:val="20"/>
                <w:color w:val="auto"/>
              </w:rPr>
            </w:pPr>
            <w:r>
              <w:rPr>
                <w:rFonts w:ascii="Arial" w:cs="Arial" w:eastAsia="Arial" w:hAnsi="Arial"/>
                <w:sz w:val="16"/>
                <w:szCs w:val="16"/>
                <w:color w:val="3E474E"/>
              </w:rPr>
              <w:t>The ratification of KPMG LLP as our independent registered public accounting firm for</w:t>
            </w:r>
          </w:p>
        </w:tc>
        <w:tc>
          <w:tcPr>
            <w:tcW w:w="0" w:type="dxa"/>
            <w:vAlign w:val="bottom"/>
          </w:tcPr>
          <w:p>
            <w:pPr>
              <w:spacing w:after="0"/>
              <w:rPr>
                <w:sz w:val="1"/>
                <w:szCs w:val="1"/>
                <w:color w:val="auto"/>
              </w:rPr>
            </w:pPr>
          </w:p>
        </w:tc>
      </w:tr>
      <w:tr>
        <w:trPr>
          <w:trHeight w:val="215"/>
        </w:trPr>
        <w:tc>
          <w:tcPr>
            <w:tcW w:w="2060" w:type="dxa"/>
            <w:vAlign w:val="bottom"/>
          </w:tcPr>
          <w:p>
            <w:pPr>
              <w:jc w:val="center"/>
              <w:ind w:right="19"/>
              <w:spacing w:after="0"/>
              <w:rPr>
                <w:sz w:val="20"/>
                <w:szCs w:val="20"/>
                <w:color w:val="auto"/>
              </w:rPr>
            </w:pPr>
            <w:r>
              <w:rPr>
                <w:rFonts w:ascii="Arial" w:cs="Arial" w:eastAsia="Arial" w:hAnsi="Arial"/>
                <w:sz w:val="16"/>
                <w:szCs w:val="16"/>
                <w:color w:val="3E474E"/>
                <w:w w:val="99"/>
              </w:rPr>
              <w:t>KPMG LLP</w:t>
            </w:r>
          </w:p>
        </w:tc>
        <w:tc>
          <w:tcPr>
            <w:tcW w:w="6360" w:type="dxa"/>
            <w:vAlign w:val="bottom"/>
          </w:tcPr>
          <w:p>
            <w:pPr>
              <w:ind w:left="80"/>
              <w:spacing w:after="0"/>
              <w:rPr>
                <w:sz w:val="20"/>
                <w:szCs w:val="20"/>
                <w:color w:val="auto"/>
              </w:rPr>
            </w:pPr>
            <w:r>
              <w:rPr>
                <w:rFonts w:ascii="Arial" w:cs="Arial" w:eastAsia="Arial" w:hAnsi="Arial"/>
                <w:sz w:val="16"/>
                <w:szCs w:val="16"/>
                <w:color w:val="3E474E"/>
              </w:rPr>
              <w:t>our fiscal year ending December 31, 2026;</w:t>
            </w:r>
          </w:p>
        </w:tc>
        <w:tc>
          <w:tcPr>
            <w:tcW w:w="0" w:type="dxa"/>
            <w:vAlign w:val="bottom"/>
          </w:tcPr>
          <w:p>
            <w:pPr>
              <w:spacing w:after="0"/>
              <w:rPr>
                <w:sz w:val="1"/>
                <w:szCs w:val="1"/>
                <w:color w:val="auto"/>
              </w:rPr>
            </w:pPr>
          </w:p>
        </w:tc>
      </w:tr>
      <w:tr>
        <w:trPr>
          <w:trHeight w:val="231"/>
        </w:trPr>
        <w:tc>
          <w:tcPr>
            <w:tcW w:w="2060" w:type="dxa"/>
            <w:vAlign w:val="bottom"/>
          </w:tcPr>
          <w:p>
            <w:pPr>
              <w:jc w:val="center"/>
              <w:ind w:right="19"/>
              <w:spacing w:after="0"/>
              <w:rPr>
                <w:sz w:val="20"/>
                <w:szCs w:val="20"/>
                <w:color w:val="auto"/>
              </w:rPr>
            </w:pPr>
            <w:r>
              <w:rPr>
                <w:rFonts w:ascii="Arial" w:cs="Arial" w:eastAsia="Arial" w:hAnsi="Arial"/>
                <w:sz w:val="16"/>
                <w:szCs w:val="16"/>
                <w:color w:val="3E474E"/>
              </w:rPr>
              <w:t>Advisory Vote on Executive</w:t>
            </w:r>
          </w:p>
        </w:tc>
        <w:tc>
          <w:tcPr>
            <w:tcW w:w="6360" w:type="dxa"/>
            <w:vAlign w:val="bottom"/>
          </w:tcPr>
          <w:p>
            <w:pPr>
              <w:ind w:left="80"/>
              <w:spacing w:after="0"/>
              <w:rPr>
                <w:sz w:val="20"/>
                <w:szCs w:val="20"/>
                <w:color w:val="auto"/>
              </w:rPr>
            </w:pPr>
            <w:r>
              <w:rPr>
                <w:rFonts w:ascii="Arial" w:cs="Arial" w:eastAsia="Arial" w:hAnsi="Arial"/>
                <w:sz w:val="16"/>
                <w:szCs w:val="16"/>
                <w:color w:val="3E474E"/>
              </w:rPr>
              <w:t>The approval (on an advisory, non-binding basis) of the compensation of our named</w:t>
            </w:r>
          </w:p>
        </w:tc>
        <w:tc>
          <w:tcPr>
            <w:tcW w:w="0" w:type="dxa"/>
            <w:vAlign w:val="bottom"/>
          </w:tcPr>
          <w:p>
            <w:pPr>
              <w:spacing w:after="0"/>
              <w:rPr>
                <w:sz w:val="1"/>
                <w:szCs w:val="1"/>
                <w:color w:val="auto"/>
              </w:rPr>
            </w:pPr>
          </w:p>
        </w:tc>
      </w:tr>
      <w:tr>
        <w:trPr>
          <w:trHeight w:val="215"/>
        </w:trPr>
        <w:tc>
          <w:tcPr>
            <w:tcW w:w="2060" w:type="dxa"/>
            <w:vAlign w:val="bottom"/>
          </w:tcPr>
          <w:p>
            <w:pPr>
              <w:jc w:val="center"/>
              <w:ind w:right="19"/>
              <w:spacing w:after="0"/>
              <w:rPr>
                <w:sz w:val="20"/>
                <w:szCs w:val="20"/>
                <w:color w:val="auto"/>
              </w:rPr>
            </w:pPr>
            <w:r>
              <w:rPr>
                <w:rFonts w:ascii="Arial" w:cs="Arial" w:eastAsia="Arial" w:hAnsi="Arial"/>
                <w:sz w:val="16"/>
                <w:szCs w:val="16"/>
                <w:color w:val="3E474E"/>
              </w:rPr>
              <w:t>Compensation</w:t>
            </w:r>
          </w:p>
        </w:tc>
        <w:tc>
          <w:tcPr>
            <w:tcW w:w="6360" w:type="dxa"/>
            <w:vAlign w:val="bottom"/>
          </w:tcPr>
          <w:p>
            <w:pPr>
              <w:ind w:left="80"/>
              <w:spacing w:after="0"/>
              <w:rPr>
                <w:sz w:val="20"/>
                <w:szCs w:val="20"/>
                <w:color w:val="auto"/>
              </w:rPr>
            </w:pPr>
            <w:r>
              <w:rPr>
                <w:rFonts w:ascii="Arial" w:cs="Arial" w:eastAsia="Arial" w:hAnsi="Arial"/>
                <w:sz w:val="16"/>
                <w:szCs w:val="16"/>
                <w:color w:val="3E474E"/>
              </w:rPr>
              <w:t>executive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-272415</wp:posOffset>
            </wp:positionV>
            <wp:extent cx="7132320" cy="282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480"/>
          </w:cols>
          <w:pgMar w:left="320" w:top="130" w:right="3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1478A3"/>
        </w:rPr>
        <w:t>Who is entitled to vote at the Annual Meeting?</w:t>
      </w:r>
    </w:p>
    <w:p>
      <w:pPr>
        <w:spacing w:after="0" w:line="56"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3E474E"/>
        </w:rPr>
        <w:t>Only holders of record of our common stock at the close of business on the Record Date (April 24, 2026) are entitled to receive notice of the Annual Meeting and to vote at the Annual Meeting. Our common stock constitutes the only class of securities entitled to vote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1478A3"/>
        </w:rPr>
        <w:t>What are the voting rights of stockholders?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3E474E"/>
        </w:rPr>
        <w:t>Each share of our common stock outstanding on the Record Date entitles its holder to cast one vote on each matter to be voted on.</w:t>
      </w:r>
    </w:p>
    <w:p>
      <w:pPr>
        <w:spacing w:after="0" w:line="2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3E474E"/>
        </w:rPr>
        <w:t>No dissenters’ rights are provided under the Maryland General Corporation Law, our Articles of Amendment and Restatement, as amended, or our amended and restated bylaws ("bylaws") with respect to any of the proposals described in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1478A3"/>
        </w:rPr>
        <w:t>Who can attend the Annual Meeting?</w:t>
      </w:r>
    </w:p>
    <w:p>
      <w:pPr>
        <w:spacing w:after="0" w:line="7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3E474E"/>
        </w:rPr>
        <w:t>All holders of our common stock at the close of business on the Record Date (April 24, 2026), or their duly appointed proxies, are authorized to attend the Annual Meeting. Stockholders who wish to participate in the Annual Meeting may attend by visiting the web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308"/>
              <w:spacing w:after="0"/>
              <w:rPr>
                <w:sz w:val="20"/>
                <w:szCs w:val="20"/>
                <w:color w:val="auto"/>
              </w:rPr>
            </w:pPr>
            <w:r>
              <w:rPr>
                <w:rFonts w:ascii="Arial" w:cs="Arial" w:eastAsia="Arial" w:hAnsi="Arial"/>
                <w:sz w:val="14"/>
                <w:szCs w:val="14"/>
                <w:color w:val="747C83"/>
              </w:rPr>
              <w:t>5</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747C83"/>
        </w:rPr>
        <w:t>About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3E474E"/>
        </w:rPr>
        <w:t>portal located at www.virtualshareholdermeeting.com/AHRT2026 and entering the control number found on the proxy card or voting instruction form.</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1478A3"/>
        </w:rPr>
        <w:t>What is the difference between holding shares as a stockholder of record and as a beneficial owner?</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3E474E"/>
        </w:rPr>
        <w:t>Many stockholders hold their shares through a stockbroker, bank, or other nominee rather than directly in their own name.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E474E"/>
        </w:rPr>
        <w:t>As summarized below, there are some distinctions between shares held of record and those owned beneficially.</w:t>
      </w:r>
    </w:p>
    <w:p>
      <w:pPr>
        <w:spacing w:after="0" w:line="24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57AED5"/>
        </w:rPr>
        <w:t xml:space="preserve">Stockholder of Record: </w:t>
      </w:r>
      <w:r>
        <w:rPr>
          <w:rFonts w:ascii="Arial" w:cs="Arial" w:eastAsia="Arial" w:hAnsi="Arial"/>
          <w:sz w:val="16"/>
          <w:szCs w:val="16"/>
          <w:color w:val="3E474E"/>
        </w:rPr>
        <w:t>If your shares are registered directly in your name with our transfer agent, Broadridge Financial Solutions, Inc., you are considered</w:t>
      </w:r>
      <w:r>
        <w:rPr>
          <w:rFonts w:ascii="Arial" w:cs="Arial" w:eastAsia="Arial" w:hAnsi="Arial"/>
          <w:sz w:val="16"/>
          <w:szCs w:val="16"/>
          <w:b w:val="1"/>
          <w:bCs w:val="1"/>
          <w:color w:val="57AED5"/>
        </w:rPr>
        <w:t xml:space="preserve"> </w:t>
      </w:r>
      <w:r>
        <w:rPr>
          <w:rFonts w:ascii="Arial" w:cs="Arial" w:eastAsia="Arial" w:hAnsi="Arial"/>
          <w:sz w:val="16"/>
          <w:szCs w:val="16"/>
          <w:color w:val="3E474E"/>
        </w:rPr>
        <w:t>the stockholder of record of those shares and the Notice is being sent directly to you by us.</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color w:val="57AED5"/>
        </w:rPr>
        <w:t xml:space="preserve">Beneficial Owner of Shares Held in Street Name: </w:t>
      </w:r>
      <w:r>
        <w:rPr>
          <w:rFonts w:ascii="Arial" w:cs="Arial" w:eastAsia="Arial" w:hAnsi="Arial"/>
          <w:sz w:val="16"/>
          <w:szCs w:val="16"/>
          <w:color w:val="3E474E"/>
        </w:rPr>
        <w:t>If your shares are held in a stock brokerage account or by a bank or other nominee, you are considered</w:t>
      </w:r>
      <w:r>
        <w:rPr>
          <w:rFonts w:ascii="Arial" w:cs="Arial" w:eastAsia="Arial" w:hAnsi="Arial"/>
          <w:sz w:val="16"/>
          <w:szCs w:val="16"/>
          <w:b w:val="1"/>
          <w:bCs w:val="1"/>
          <w:color w:val="57AED5"/>
        </w:rPr>
        <w:t xml:space="preserve"> </w:t>
      </w:r>
      <w:r>
        <w:rPr>
          <w:rFonts w:ascii="Arial" w:cs="Arial" w:eastAsia="Arial" w:hAnsi="Arial"/>
          <w:sz w:val="16"/>
          <w:szCs w:val="16"/>
          <w:color w:val="3E474E"/>
        </w:rPr>
        <w:t>the “beneficial owner” of shares held in “street name”, and the Notice is being forwarded to you by your broker or nominee, which is considered, with respect to those shares, the stockholder of record. As the beneficial owner, you have the right to direct your broker on how to vote your shares and are also invited to attend the Annual Meeting.</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478A3"/>
        </w:rPr>
        <w:t>What will constitute a quorum at the Annual Meeting?</w:t>
      </w:r>
    </w:p>
    <w:p>
      <w:pPr>
        <w:spacing w:after="0" w:line="5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3E474E"/>
        </w:rPr>
        <w:t>The presence at the Annual Meeting, virtually or by proxy, of the holders of a majority of our common stock outstanding on the Record Date (April 24, 2026) will constitute a quorum, permitting the stockholders to conduct business at the Annual Meeting. We will include abstentions and broker non-votes in the calculation of the number of shares considered to be present at the Annual Meeting for purposes of determining the presence of a quorum at the Annual Meeting. As of the Record Date, there were 75,973,679 shares of our common stock outstanding.</w:t>
      </w:r>
    </w:p>
    <w:p>
      <w:pPr>
        <w:spacing w:after="0" w:line="213"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3E474E"/>
        </w:rPr>
        <w:t>If a quorum is not present to transact business at the Annual Meeting or if we do not receive sufficient votes in favor of the proposals by the date of the Annual Meeting, the persons named as proxies may propose one or more adjournments of the Annual Meeting to permit solicitation of additional proxies. The chairperson of the Annual Meeting shall have the power to adjourn the Annual Meeting.</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1478A3"/>
        </w:rPr>
        <w:t>What are broker non-votes?</w:t>
      </w:r>
    </w:p>
    <w:p>
      <w:pPr>
        <w:spacing w:after="0" w:line="56"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color w:val="3E474E"/>
        </w:rPr>
        <w:t>Broker non-votes occur when nominees, such as banks and brokers holding shares on behalf of beneficial owners, do not receive voting instructions from the beneficial owners at least ten days before the Annual Meeting. If that happens, the nominees may vote those shares only on matters deemed “routine” by the New York Stock Exchange ("NYSE"), the exchange on which shares of our common stock are listed. On non-routine matters, nominees cannot vote without instructions from the beneficial owner, resulting in a so-called “broker non-vote.”</w:t>
      </w:r>
    </w:p>
    <w:p>
      <w:pPr>
        <w:spacing w:after="0" w:line="21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3E474E"/>
        </w:rPr>
        <w:t>Proposal 2 (Ratification of KPMG LLP) is the only proposal that is considered “routine” under the NYSE rules. If you are a beneficial owner and your shares are held in the name of a broker or other nominee, the broker or other nominee is permitted to vote your shares on the ratification of the appointment of KPMG LLP as our independent registered public accounting firm for our fiscal year ending December 31, 2026, even if the broker or other nominee does not receive voting instructions from you.</w:t>
      </w:r>
    </w:p>
    <w:p>
      <w:pPr>
        <w:spacing w:after="0" w:line="186"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color w:val="3E474E"/>
        </w:rPr>
        <w:t>Under NYSE rules, Proposal 1 (Election of Directors) and Proposal 3 (Advisory Vote on Executive Compensation) are considered “non-routine” proposals. Consequently, if you do not give your broker or other nominee voting instructions, your broker or other nominee will not be able to vote on these proposals, and broker non-votes may exist with respect to the election of directors and the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308"/>
              <w:spacing w:after="0"/>
              <w:rPr>
                <w:sz w:val="20"/>
                <w:szCs w:val="20"/>
                <w:color w:val="auto"/>
              </w:rPr>
            </w:pPr>
            <w:r>
              <w:rPr>
                <w:rFonts w:ascii="Arial" w:cs="Arial" w:eastAsia="Arial" w:hAnsi="Arial"/>
                <w:sz w:val="14"/>
                <w:szCs w:val="14"/>
                <w:color w:val="747C83"/>
              </w:rPr>
              <w:t>6</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747C83"/>
        </w:rPr>
        <w:t>About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1478A3"/>
        </w:rPr>
        <w:t>How many votes are needed for the proposals to pass?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3E474E"/>
        </w:rPr>
        <w:t>The proposals to be voted on at the Annual Meeting have the following 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531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69" w:lineRule="exact"/>
        <w:rPr>
          <w:sz w:val="20"/>
          <w:szCs w:val="20"/>
          <w:color w:val="auto"/>
        </w:rPr>
      </w:pPr>
    </w:p>
    <w:p>
      <w:pPr>
        <w:jc w:val="center"/>
        <w:ind w:left="540"/>
        <w:spacing w:after="0"/>
        <w:rPr>
          <w:sz w:val="20"/>
          <w:szCs w:val="20"/>
          <w:color w:val="auto"/>
        </w:rPr>
      </w:pPr>
      <w:r>
        <w:rPr>
          <w:rFonts w:ascii="Arial" w:cs="Arial" w:eastAsia="Arial" w:hAnsi="Arial"/>
          <w:sz w:val="29"/>
          <w:szCs w:val="29"/>
          <w:b w:val="1"/>
          <w:bCs w:val="1"/>
          <w:color w:val="1478A3"/>
        </w:rPr>
        <w:t>Proposal 1</w:t>
      </w:r>
    </w:p>
    <w:p>
      <w:pPr>
        <w:spacing w:after="0" w:line="54"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3E474E"/>
        </w:rPr>
        <w:t>(Election of Directors)</w:t>
      </w:r>
    </w:p>
    <w:p>
      <w:pPr>
        <w:spacing w:after="0" w:line="266" w:lineRule="exact"/>
        <w:rPr>
          <w:sz w:val="20"/>
          <w:szCs w:val="20"/>
          <w:color w:val="auto"/>
        </w:rPr>
      </w:pPr>
    </w:p>
    <w:p>
      <w:pPr>
        <w:jc w:val="center"/>
        <w:ind w:left="540"/>
        <w:spacing w:after="0"/>
        <w:rPr>
          <w:sz w:val="20"/>
          <w:szCs w:val="20"/>
          <w:color w:val="auto"/>
        </w:rPr>
      </w:pPr>
      <w:r>
        <w:rPr>
          <w:rFonts w:ascii="Arial" w:cs="Arial" w:eastAsia="Arial" w:hAnsi="Arial"/>
          <w:sz w:val="29"/>
          <w:szCs w:val="29"/>
          <w:b w:val="1"/>
          <w:bCs w:val="1"/>
          <w:color w:val="1478A3"/>
        </w:rPr>
        <w:t>Proposal 2</w:t>
      </w:r>
    </w:p>
    <w:p>
      <w:pPr>
        <w:spacing w:after="0" w:line="54"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494949"/>
        </w:rPr>
        <w:t>(Ratification of</w:t>
      </w:r>
    </w:p>
    <w:p>
      <w:pPr>
        <w:spacing w:after="0" w:line="5"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494949"/>
        </w:rPr>
        <w:t>KPMG LLP)</w:t>
      </w:r>
    </w:p>
    <w:p>
      <w:pPr>
        <w:spacing w:after="0" w:line="266" w:lineRule="exact"/>
        <w:rPr>
          <w:sz w:val="20"/>
          <w:szCs w:val="20"/>
          <w:color w:val="auto"/>
        </w:rPr>
      </w:pPr>
    </w:p>
    <w:p>
      <w:pPr>
        <w:jc w:val="center"/>
        <w:ind w:left="540"/>
        <w:spacing w:after="0"/>
        <w:rPr>
          <w:sz w:val="20"/>
          <w:szCs w:val="20"/>
          <w:color w:val="auto"/>
        </w:rPr>
      </w:pPr>
      <w:r>
        <w:rPr>
          <w:rFonts w:ascii="Arial" w:cs="Arial" w:eastAsia="Arial" w:hAnsi="Arial"/>
          <w:sz w:val="29"/>
          <w:szCs w:val="29"/>
          <w:b w:val="1"/>
          <w:bCs w:val="1"/>
          <w:color w:val="1478A3"/>
        </w:rPr>
        <w:t>Proposal 3</w:t>
      </w:r>
    </w:p>
    <w:p>
      <w:pPr>
        <w:spacing w:after="0" w:line="54"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3E474E"/>
        </w:rPr>
        <w:t>(Advisory Vote on</w:t>
      </w:r>
    </w:p>
    <w:p>
      <w:pPr>
        <w:spacing w:after="0" w:line="5"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3E474E"/>
        </w:rPr>
        <w:t>Executive Compensation)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3E474E"/>
        </w:rPr>
        <w:t>The affirmative vote of a majority of the votes cast for or against a nominee at a meeting at which a quorum is present is required for the election of directors. For purposes of the election of directors, abstentions and broker non-votes will not be counted as votes cast and will have no effect on the result of the vote, although they will be considered present for the purpose of determining the presence of a quorum.</w:t>
      </w:r>
    </w:p>
    <w:p>
      <w:pPr>
        <w:spacing w:after="0" w:line="2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3E474E"/>
        </w:rPr>
        <w:t>The affirmative vote of a majority of the votes cast at a meeting at which a quorum is present is required to ratify the appointment of KPMG LLP as our independent registered public accounting firm for our fiscal year ending December 31, 2026. For purposes of the vote on the ratification of KPMG LLP as our independent registered public accounting firm, abstentions will not be counted as votes cast and will have no effect on the result of the vote, although they will be considered present for the purpose of determining the presence of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10795</wp:posOffset>
            </wp:positionV>
            <wp:extent cx="7132320" cy="651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3E474E"/>
        </w:rPr>
        <w:t>The affirmative vote of a majority of the votes cast at a meeting at which a quorum is present is required to approve, on a non-binding advisory basis, the compensation of our named executive officers as disclosed in this Proxy Statement. For purposes of the advisory vote on executive compensation, abstentions and broker non-votes will not be counted as votes cast and will have no effect on the result of the vote, although they will be considered present for the purpose of determining the presence of a quorum.</w:t>
      </w:r>
    </w:p>
    <w:p>
      <w:pPr>
        <w:spacing w:after="0" w:line="200" w:lineRule="exact"/>
        <w:rPr>
          <w:sz w:val="20"/>
          <w:szCs w:val="20"/>
          <w:color w:val="auto"/>
        </w:rPr>
      </w:pPr>
    </w:p>
    <w:p>
      <w:pPr>
        <w:sectPr>
          <w:pgSz w:w="11900" w:h="16838" w:orient="portrait"/>
          <w:cols w:equalWidth="0" w:num="2">
            <w:col w:w="2380" w:space="560"/>
            <w:col w:w="8300"/>
          </w:cols>
          <w:pgMar w:left="320" w:top="144" w:right="339" w:bottom="1440" w:gutter="0" w:footer="0" w:header="0"/>
          <w:type w:val="continuous"/>
        </w:sect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1478A3"/>
        </w:rPr>
        <w:t>Will any other matters be voted on?</w:t>
      </w:r>
    </w:p>
    <w:p>
      <w:pPr>
        <w:spacing w:after="0" w:line="56"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3E474E"/>
        </w:rPr>
        <w:t>As of the date of this Proxy Statement, we are not aware of any matters that will come before the Annual Meeting other than those disclosed in this Proxy Statement. If any other matters are properly brought before the Annual Meeting, the persons named in the accompanying proxy card will vote the shares represented by the proxies on the other matters in the manner recommended by our Board of Directors, or, if no such recommendation is given, in the discretion of the proxy holders.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1478A3"/>
        </w:rPr>
        <w:t>How do I vote?</w:t>
      </w:r>
    </w:p>
    <w:p>
      <w:pPr>
        <w:spacing w:after="0" w:line="70" w:lineRule="exact"/>
        <w:rPr>
          <w:sz w:val="20"/>
          <w:szCs w:val="20"/>
          <w:color w:val="auto"/>
        </w:rPr>
      </w:pPr>
    </w:p>
    <w:p>
      <w:pPr>
        <w:spacing w:after="0" w:line="265" w:lineRule="auto"/>
        <w:rPr>
          <w:sz w:val="20"/>
          <w:szCs w:val="20"/>
          <w:color w:val="auto"/>
        </w:rPr>
      </w:pPr>
      <w:r>
        <w:rPr>
          <w:rFonts w:ascii="Arial" w:cs="Arial" w:eastAsia="Arial" w:hAnsi="Arial"/>
          <w:sz w:val="16"/>
          <w:szCs w:val="16"/>
          <w:color w:val="3E474E"/>
        </w:rPr>
        <w:t>If you are a registered stockholder, you may submit your proxy by U.S. mail, internet, or telephone by following the instructions in the Notice. If you requested a paper copy of the proxy materials, you also may submit your proxy card by mail by following the instructions included with your proxy card. The deadline for submitting your proxy card by internet or telephone is 11:59 p.m. Eastern Time on June 16, 2026, which is the day before the Annual Meeting date. The designated proxy will vote according to your instructions. You may also attend the Annual Meeting virtually and vote at the meeting.</w:t>
      </w:r>
    </w:p>
    <w:p>
      <w:pPr>
        <w:spacing w:after="0" w:line="20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3E474E"/>
        </w:rPr>
        <w:t>If you are a street name or beneficial stockholder because your shares are held in a brokerage account or by a bank or other nominee, your broker or nominee firm will provide you with the Notice. Follow the instructions on the Notice to access our proxy materials and vote by internet or to request a paper or email copy of our proxy materials. If you receive these materials in paper form, the materials include a voting instruction card so that you can instruct your broker or nominee on how to vote your shares.</w:t>
      </w:r>
    </w:p>
    <w:p>
      <w:pPr>
        <w:spacing w:after="0" w:line="213"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3E474E"/>
        </w:rPr>
        <w:t>If you submit your proxy without specifying how you would like your shares voted, your shares will be voted in accordance with the Board’s recommendations specified above under “What are the Board’s voting recommendations?” and in accordance with the discretion of the proxy holders with respect to any other matters that may be voted upon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1478A3"/>
        </w:rPr>
        <w:t>If I plan to attend the Annual Meeting, should I still vote by proxy?</w:t>
      </w:r>
    </w:p>
    <w:p>
      <w:pPr>
        <w:spacing w:after="0" w:line="56" w:lineRule="exact"/>
        <w:rPr>
          <w:sz w:val="20"/>
          <w:szCs w:val="20"/>
          <w:color w:val="auto"/>
        </w:rPr>
      </w:pPr>
    </w:p>
    <w:p>
      <w:pPr>
        <w:spacing w:after="0" w:line="286" w:lineRule="auto"/>
        <w:rPr>
          <w:sz w:val="20"/>
          <w:szCs w:val="20"/>
          <w:color w:val="auto"/>
        </w:rPr>
      </w:pPr>
      <w:r>
        <w:rPr>
          <w:rFonts w:ascii="Arial" w:cs="Arial" w:eastAsia="Arial" w:hAnsi="Arial"/>
          <w:sz w:val="16"/>
          <w:szCs w:val="16"/>
          <w:color w:val="3E474E"/>
        </w:rPr>
        <w:t>Yes. Voting in advance does not affect your right to attend the Annual Meeting. If you send in your proxy card and also attend the Annual Meeting, you do not need to vote again at the Annual Meeting unless you want to change your vote.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1478A3"/>
        </w:rPr>
        <w:t>How are proxy card votes counted?</w:t>
      </w:r>
    </w:p>
    <w:p>
      <w:pPr>
        <w:spacing w:after="0" w:line="43"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3E474E"/>
        </w:rPr>
        <w:t>If the notice and access proxy card is validly submitted and not subsequently revoked, it will be voted as directed by you. Unless contrary instructions are given, the persons designated as proxy holders on the proxy card will vote: “FOR” the election of all nominees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308"/>
              <w:spacing w:after="0"/>
              <w:rPr>
                <w:sz w:val="20"/>
                <w:szCs w:val="20"/>
                <w:color w:val="auto"/>
              </w:rPr>
            </w:pPr>
            <w:r>
              <w:rPr>
                <w:rFonts w:ascii="Arial" w:cs="Arial" w:eastAsia="Arial" w:hAnsi="Arial"/>
                <w:sz w:val="14"/>
                <w:szCs w:val="14"/>
                <w:color w:val="747C83"/>
              </w:rPr>
              <w:t>7</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747C83"/>
        </w:rPr>
        <w:t>About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3E474E"/>
        </w:rPr>
        <w:t>Board of Directors named in this Proxy Statement; “FOR” the ratification of the appointment of KPMG LLP as our independent registered public accounting</w:t>
      </w:r>
    </w:p>
    <w:p>
      <w:pPr>
        <w:spacing w:after="0" w:line="26"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3E474E"/>
        </w:rPr>
        <w:t>firm for the fiscal year ending December 31, 2026; “FOR” the approval of the compensation of our named executive officers</w:t>
      </w:r>
      <w:r>
        <w:rPr>
          <w:rFonts w:ascii="Arial" w:cs="Arial" w:eastAsia="Arial" w:hAnsi="Arial"/>
          <w:sz w:val="21"/>
          <w:szCs w:val="21"/>
          <w:color w:val="008080"/>
        </w:rPr>
        <w:t>,</w:t>
      </w:r>
      <w:r>
        <w:rPr>
          <w:rFonts w:ascii="Arial" w:cs="Arial" w:eastAsia="Arial" w:hAnsi="Arial"/>
          <w:sz w:val="16"/>
          <w:szCs w:val="16"/>
          <w:color w:val="3E474E"/>
        </w:rPr>
        <w:t xml:space="preserve"> and as recommended by our Board of Directors with regard to any other matters that may properly come before the Annual Meeting, or, if no such recommendation is given, in their own discretion.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1478A3"/>
        </w:rPr>
        <w:t>May I revoke my vote after I return my proxy card?</w:t>
      </w:r>
    </w:p>
    <w:p>
      <w:pPr>
        <w:spacing w:after="0" w:line="56" w:lineRule="exact"/>
        <w:rPr>
          <w:sz w:val="20"/>
          <w:szCs w:val="20"/>
          <w:color w:val="auto"/>
        </w:rPr>
      </w:pPr>
    </w:p>
    <w:p>
      <w:pPr>
        <w:jc w:val="both"/>
        <w:ind w:right="260"/>
        <w:spacing w:after="0" w:line="275" w:lineRule="auto"/>
        <w:rPr>
          <w:sz w:val="20"/>
          <w:szCs w:val="20"/>
          <w:color w:val="auto"/>
        </w:rPr>
      </w:pPr>
      <w:r>
        <w:rPr>
          <w:rFonts w:ascii="Arial" w:cs="Arial" w:eastAsia="Arial" w:hAnsi="Arial"/>
          <w:sz w:val="16"/>
          <w:szCs w:val="16"/>
          <w:color w:val="3E474E"/>
        </w:rPr>
        <w:t>Yes. You may revoke a previously granted proxy and change your vote at any time before the taking of the vote at the Annual Meeting by (i) filing with our Corporate Secretary a written notice of revocation or a duly executed proxy card bearing a later date or (ii) attending the Annual Meeting and voting in the virtual meeting portal.</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1478A3"/>
        </w:rPr>
        <w:t>Who pays the costs of soliciting proxies?</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6"/>
          <w:szCs w:val="16"/>
          <w:color w:val="3E474E"/>
        </w:rPr>
        <w:t>We will pay the costs of soliciting proxies, including preparation and mailing of the Notice, preparation and assembly of this Proxy Statement, the proxy card, and the 2025 Annual Report to Stockholders/Form 10-K for the year ended December 31, 2025, coordination of the internet and telephone voting process and any additional information furnished to you by or on behalf of the Company. Copies of solicitation materials will be furnished to banks, brokerage houses, fiduciaries, and custodians holding in their names shares of our common stock beneficially owned by others to forward to such beneficial owners. We may reimburse persons representing beneficial owners of shares of our common stock for their costs of forwarding solicitation materials to such beneficial owners. Original solicitation of proxies by internet and mail may be supplemented by telephone or personal solicitation by our directors, officers, or other regular employees.</w:t>
      </w:r>
    </w:p>
    <w:p>
      <w:pPr>
        <w:spacing w:after="0" w:line="212"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b w:val="1"/>
          <w:bCs w:val="1"/>
          <w:color w:val="57AED5"/>
        </w:rPr>
        <w:t>You are encouraged to rely only on the information provided in this Proxy Statement. We have not authorized anyone to provide you with different or additional information. You should not assume that the information in this Proxy Statement is accurate as of any date other than the date of this Proxy Statement or, where information relates to another date set forth in this Proxy Statement, then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308"/>
              <w:spacing w:after="0"/>
              <w:rPr>
                <w:sz w:val="20"/>
                <w:szCs w:val="20"/>
                <w:color w:val="auto"/>
              </w:rPr>
            </w:pPr>
            <w:r>
              <w:rPr>
                <w:rFonts w:ascii="Arial" w:cs="Arial" w:eastAsia="Arial" w:hAnsi="Arial"/>
                <w:sz w:val="14"/>
                <w:szCs w:val="14"/>
                <w:color w:val="747C83"/>
              </w:rPr>
              <w:t>8</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747C83"/>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Proposal 1: Election of Directors</w:t>
      </w:r>
    </w:p>
    <w:p>
      <w:pPr>
        <w:spacing w:after="0" w:line="27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3E474E"/>
        </w:rPr>
        <w:t>As of the date of the proxy statement, our Board is currently comprised of nine directors, all of whom have terms expiring at the Annual Meeting. Seven of the nine nominees are current directors who have been nominated by the Board for re-election. Two current directors, George F. Allen and Dennis H. Gartman, are not standing for re-election. The remaining two nominees, Theodore R. Bigman and Lori B. Wittman, have been nominated for election for the first time. All nominees are to serve as directors for one-year terms until the 2027 annual meeting of stockholders and until their successors are duly elected and qualify. Based on its review of the relationships between the director nominees and the Company, our Board has affirmatively determined that the following directors and director nominees are “independent” under the rules of the NYSE, and under applicable rules of the U.S. Securities and Exchange Commission (the "SEC"): Mses. Jennifer R. Boykin and Lori B. Wittman and Messrs. George F. Allen, Theodore R. Bigman, James A. Carroll, James C. Cherry, Dennis H. Gartman, and F. Blair Wimbush.</w:t>
      </w:r>
    </w:p>
    <w:p>
      <w:pPr>
        <w:spacing w:after="0" w:line="221" w:lineRule="exact"/>
        <w:rPr>
          <w:sz w:val="20"/>
          <w:szCs w:val="20"/>
          <w:color w:val="auto"/>
        </w:rPr>
      </w:pPr>
    </w:p>
    <w:p>
      <w:pPr>
        <w:spacing w:after="0" w:line="265" w:lineRule="auto"/>
        <w:rPr>
          <w:sz w:val="20"/>
          <w:szCs w:val="20"/>
          <w:color w:val="auto"/>
        </w:rPr>
      </w:pPr>
      <w:r>
        <w:rPr>
          <w:rFonts w:ascii="Arial" w:cs="Arial" w:eastAsia="Arial" w:hAnsi="Arial"/>
          <w:sz w:val="16"/>
          <w:szCs w:val="16"/>
          <w:color w:val="3E474E"/>
        </w:rPr>
        <w:t>The accompanying proxy card will be voted for the election of each of the Board's nine nominees, unless it includes instructions otherwise. The Board knows of no reason why any nominee would be unable to serve as a director. If any nominee is unavailable for election or service, the Board may designate a substitute nominee and the persons designated as proxy holders on the proxy card will vote for the substitute nominee recommended by the Board. Under these circumstances, the Board may also, as permitted by our bylaws, decrease the size of our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3E474E"/>
        </w:rPr>
        <w:t>Information about each of the nominees, including biographies, is set forth below and on the following pages.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1478A3"/>
        </w:rPr>
        <w:t>Director Nominees</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3E474E"/>
        </w:rPr>
        <w:t>The following table sets forth the name and age of each current director and each nominee for election to the Board of Directors, indicating all positions and offices with us currently held by the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6172200" cy="3626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0" cy="362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6"/>
          <w:szCs w:val="16"/>
          <w:color w:val="3E474E"/>
          <w:vertAlign w:val="superscript"/>
        </w:rPr>
      </w:pPr>
      <w:r>
        <w:rPr>
          <w:rFonts w:ascii="Arial" w:cs="Arial" w:eastAsia="Arial" w:hAnsi="Arial"/>
          <w:sz w:val="13"/>
          <w:szCs w:val="13"/>
          <w:color w:val="3E474E"/>
        </w:rPr>
        <w:t>Age as of April 30, 2026.</w:t>
      </w:r>
    </w:p>
    <w:p>
      <w:pPr>
        <w:spacing w:after="0" w:line="48" w:lineRule="exact"/>
        <w:rPr>
          <w:rFonts w:ascii="Arial" w:cs="Arial" w:eastAsia="Arial" w:hAnsi="Arial"/>
          <w:sz w:val="16"/>
          <w:szCs w:val="16"/>
          <w:color w:val="3E474E"/>
          <w:vertAlign w:val="superscript"/>
        </w:rPr>
      </w:pPr>
    </w:p>
    <w:p>
      <w:pPr>
        <w:ind w:left="140" w:hanging="132"/>
        <w:spacing w:after="0" w:line="200" w:lineRule="auto"/>
        <w:tabs>
          <w:tab w:leader="none" w:pos="140" w:val="left"/>
        </w:tabs>
        <w:numPr>
          <w:ilvl w:val="0"/>
          <w:numId w:val="28"/>
        </w:numPr>
        <w:rPr>
          <w:rFonts w:ascii="Arial" w:cs="Arial" w:eastAsia="Arial" w:hAnsi="Arial"/>
          <w:sz w:val="16"/>
          <w:szCs w:val="16"/>
          <w:color w:val="3E474E"/>
          <w:vertAlign w:val="superscript"/>
        </w:rPr>
      </w:pPr>
      <w:r>
        <w:rPr>
          <w:rFonts w:ascii="Arial" w:cs="Arial" w:eastAsia="Arial" w:hAnsi="Arial"/>
          <w:sz w:val="13"/>
          <w:szCs w:val="13"/>
          <w:color w:val="3E474E"/>
        </w:rPr>
        <w:t>Messrs. Allen and Gartman are not standing for re-election</w:t>
      </w:r>
    </w:p>
    <w:p>
      <w:pPr>
        <w:spacing w:after="0" w:line="49" w:lineRule="exact"/>
        <w:rPr>
          <w:rFonts w:ascii="Arial" w:cs="Arial" w:eastAsia="Arial" w:hAnsi="Arial"/>
          <w:sz w:val="16"/>
          <w:szCs w:val="16"/>
          <w:color w:val="3E474E"/>
          <w:vertAlign w:val="superscript"/>
        </w:rPr>
      </w:pPr>
    </w:p>
    <w:p>
      <w:pPr>
        <w:ind w:left="140" w:hanging="132"/>
        <w:spacing w:after="0" w:line="200" w:lineRule="auto"/>
        <w:tabs>
          <w:tab w:leader="none" w:pos="140" w:val="left"/>
        </w:tabs>
        <w:numPr>
          <w:ilvl w:val="0"/>
          <w:numId w:val="28"/>
        </w:numPr>
        <w:rPr>
          <w:rFonts w:ascii="Arial" w:cs="Arial" w:eastAsia="Arial" w:hAnsi="Arial"/>
          <w:sz w:val="16"/>
          <w:szCs w:val="16"/>
          <w:color w:val="3E474E"/>
          <w:vertAlign w:val="superscript"/>
        </w:rPr>
      </w:pPr>
      <w:r>
        <w:rPr>
          <w:rFonts w:ascii="Arial" w:cs="Arial" w:eastAsia="Arial" w:hAnsi="Arial"/>
          <w:sz w:val="13"/>
          <w:szCs w:val="13"/>
          <w:color w:val="3E474E"/>
        </w:rPr>
        <w:t>The Board has not yet determined committee assignments for Mr. Bigman and Mrs. Wittman but expects to following the Annual Meeting, if they are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815340</wp:posOffset>
            </wp:positionV>
            <wp:extent cx="8255"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815340</wp:posOffset>
            </wp:positionV>
            <wp:extent cx="825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120"/>
        <w:spacing w:after="0"/>
        <w:tabs>
          <w:tab w:leader="none" w:pos="544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9</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747C83"/>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1478A3"/>
        </w:rPr>
        <w:t>Board Refreshment</w:t>
      </w:r>
    </w:p>
    <w:p>
      <w:pPr>
        <w:spacing w:after="0" w:line="56" w:lineRule="exact"/>
        <w:rPr>
          <w:sz w:val="20"/>
          <w:szCs w:val="20"/>
          <w:color w:val="auto"/>
        </w:rPr>
      </w:pPr>
    </w:p>
    <w:p>
      <w:pPr>
        <w:spacing w:after="0" w:line="275" w:lineRule="auto"/>
        <w:rPr>
          <w:sz w:val="20"/>
          <w:szCs w:val="20"/>
          <w:color w:val="auto"/>
        </w:rPr>
      </w:pPr>
      <w:r>
        <w:rPr>
          <w:rFonts w:ascii="Arial" w:cs="Arial" w:eastAsia="Arial" w:hAnsi="Arial"/>
          <w:sz w:val="16"/>
          <w:szCs w:val="16"/>
          <w:color w:val="3E474E"/>
        </w:rPr>
        <w:t>As part of the Board’s ongoing board refreshment process, George F. Allen and Dennis H. Gartman will not stand for reelection at the Annual Meeting. Mr. Allen has served as a director since 2013, including as Chair of the Board's Nominating and Corporate Governance Committee, and Mr. Gartman has served as a director since 2022.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3E474E"/>
        </w:rPr>
        <w:t>The Nominating and Corporate Governance Committee identified Theodore R. Bigman and Lori B. Wittman as candidates with deep real</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E474E"/>
        </w:rPr>
        <w:t>estate, capital markets, and capital allocation expertise, and with skills and experience highly relevant to the Company’s business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3E474E"/>
        </w:rPr>
        <w:t>transformation strategy, and recommended Mr. Bigman and Ms. Wittman to the Board for consideration. The Board voted unanimously to nominate Mr.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3E474E"/>
        </w:rPr>
        <w:t>Bigman and Ms. Wittman for election at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1478A3"/>
        </w:rPr>
        <w:t>Director Nominee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6172200" cy="2219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3E474E"/>
        </w:rPr>
        <w:t>Set forth below are descriptions of the backgrounds and principal occupations of each of our directors, and the period during which he or she has served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10</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747C83"/>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7132320" cy="6677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667766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478A3"/>
        </w:rPr>
        <w:t>Theodore R. Bigman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Director Since: 2026</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Age: 63</w:t>
      </w:r>
    </w:p>
    <w:p>
      <w:pPr>
        <w:spacing w:after="0" w:line="316" w:lineRule="exact"/>
        <w:rPr>
          <w:sz w:val="20"/>
          <w:szCs w:val="20"/>
          <w:color w:val="auto"/>
        </w:rPr>
      </w:pPr>
    </w:p>
    <w:p>
      <w:pPr>
        <w:ind w:left="20" w:right="220"/>
        <w:spacing w:after="0" w:line="286" w:lineRule="auto"/>
        <w:rPr>
          <w:sz w:val="20"/>
          <w:szCs w:val="20"/>
          <w:color w:val="auto"/>
        </w:rPr>
      </w:pPr>
      <w:r>
        <w:rPr>
          <w:rFonts w:ascii="Arial" w:cs="Arial" w:eastAsia="Arial" w:hAnsi="Arial"/>
          <w:sz w:val="16"/>
          <w:szCs w:val="16"/>
          <w:color w:val="3E474E"/>
        </w:rPr>
        <w:t>Other Company Directorships (past 5 years):</w:t>
      </w:r>
    </w:p>
    <w:p>
      <w:pPr>
        <w:spacing w:after="0" w:line="7" w:lineRule="exact"/>
        <w:rPr>
          <w:sz w:val="20"/>
          <w:szCs w:val="20"/>
          <w:color w:val="auto"/>
        </w:rPr>
      </w:pPr>
    </w:p>
    <w:p>
      <w:pPr>
        <w:ind w:left="20" w:right="400" w:firstLine="6"/>
        <w:spacing w:after="0" w:line="286" w:lineRule="auto"/>
        <w:tabs>
          <w:tab w:leader="none" w:pos="122" w:val="left"/>
        </w:tabs>
        <w:numPr>
          <w:ilvl w:val="0"/>
          <w:numId w:val="29"/>
        </w:numPr>
        <w:rPr>
          <w:rFonts w:ascii="Arial" w:cs="Arial" w:eastAsia="Arial" w:hAnsi="Arial"/>
          <w:sz w:val="16"/>
          <w:szCs w:val="16"/>
          <w:color w:val="3E474E"/>
        </w:rPr>
      </w:pPr>
      <w:r>
        <w:rPr>
          <w:rFonts w:ascii="Arial" w:cs="Arial" w:eastAsia="Arial" w:hAnsi="Arial"/>
          <w:sz w:val="16"/>
          <w:szCs w:val="16"/>
          <w:color w:val="3E474E"/>
        </w:rPr>
        <w:t>Ventas, Inc. (NYSE: VTR) (Since 2024)</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Education:</w:t>
      </w:r>
    </w:p>
    <w:p>
      <w:pPr>
        <w:spacing w:after="0" w:line="73" w:lineRule="exact"/>
        <w:rPr>
          <w:sz w:val="20"/>
          <w:szCs w:val="20"/>
          <w:color w:val="auto"/>
        </w:rPr>
      </w:pPr>
    </w:p>
    <w:p>
      <w:pPr>
        <w:ind w:left="120" w:hanging="94"/>
        <w:spacing w:after="0"/>
        <w:tabs>
          <w:tab w:leader="none" w:pos="120" w:val="left"/>
        </w:tabs>
        <w:numPr>
          <w:ilvl w:val="0"/>
          <w:numId w:val="30"/>
        </w:numPr>
        <w:rPr>
          <w:rFonts w:ascii="Arial" w:cs="Arial" w:eastAsia="Arial" w:hAnsi="Arial"/>
          <w:sz w:val="16"/>
          <w:szCs w:val="16"/>
          <w:color w:val="3E474E"/>
        </w:rPr>
      </w:pPr>
      <w:r>
        <w:rPr>
          <w:rFonts w:ascii="Arial" w:cs="Arial" w:eastAsia="Arial" w:hAnsi="Arial"/>
          <w:sz w:val="16"/>
          <w:szCs w:val="16"/>
          <w:color w:val="3E474E"/>
        </w:rPr>
        <w:t>B.A., Brandeis University</w:t>
      </w:r>
    </w:p>
    <w:p>
      <w:pPr>
        <w:spacing w:after="0" w:line="21" w:lineRule="exact"/>
        <w:rPr>
          <w:rFonts w:ascii="Arial" w:cs="Arial" w:eastAsia="Arial" w:hAnsi="Arial"/>
          <w:sz w:val="16"/>
          <w:szCs w:val="16"/>
          <w:color w:val="3E474E"/>
        </w:rPr>
      </w:pPr>
    </w:p>
    <w:p>
      <w:pPr>
        <w:ind w:left="120" w:hanging="94"/>
        <w:spacing w:after="0"/>
        <w:tabs>
          <w:tab w:leader="none" w:pos="120" w:val="left"/>
        </w:tabs>
        <w:numPr>
          <w:ilvl w:val="0"/>
          <w:numId w:val="30"/>
        </w:numPr>
        <w:rPr>
          <w:rFonts w:ascii="Arial" w:cs="Arial" w:eastAsia="Arial" w:hAnsi="Arial"/>
          <w:sz w:val="16"/>
          <w:szCs w:val="16"/>
          <w:color w:val="3E474E"/>
        </w:rPr>
      </w:pPr>
      <w:r>
        <w:rPr>
          <w:rFonts w:ascii="Arial" w:cs="Arial" w:eastAsia="Arial" w:hAnsi="Arial"/>
          <w:sz w:val="16"/>
          <w:szCs w:val="16"/>
          <w:color w:val="3E474E"/>
        </w:rPr>
        <w:t>MBA, Harvard Business School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1478A3"/>
        </w:rPr>
        <w:t>Independent Director</w:t>
      </w:r>
    </w:p>
    <w:p>
      <w:pPr>
        <w:spacing w:after="0" w:line="301" w:lineRule="exact"/>
        <w:rPr>
          <w:sz w:val="20"/>
          <w:szCs w:val="20"/>
          <w:color w:val="auto"/>
        </w:rPr>
      </w:pPr>
    </w:p>
    <w:p>
      <w:pPr>
        <w:ind w:left="7"/>
        <w:spacing w:after="0"/>
        <w:rPr>
          <w:sz w:val="20"/>
          <w:szCs w:val="20"/>
          <w:color w:val="auto"/>
        </w:rPr>
      </w:pPr>
      <w:r>
        <w:rPr>
          <w:rFonts w:ascii="Arial" w:cs="Arial" w:eastAsia="Arial" w:hAnsi="Arial"/>
          <w:sz w:val="16"/>
          <w:szCs w:val="16"/>
          <w:color w:val="3E474E"/>
        </w:rPr>
        <w:t>Reasons for Nomination</w:t>
      </w:r>
    </w:p>
    <w:p>
      <w:pPr>
        <w:spacing w:after="0" w:line="21" w:lineRule="exact"/>
        <w:rPr>
          <w:sz w:val="20"/>
          <w:szCs w:val="20"/>
          <w:color w:val="auto"/>
        </w:rPr>
      </w:pPr>
    </w:p>
    <w:p>
      <w:pPr>
        <w:ind w:left="7" w:right="60"/>
        <w:spacing w:after="0" w:line="264" w:lineRule="auto"/>
        <w:rPr>
          <w:sz w:val="20"/>
          <w:szCs w:val="20"/>
          <w:color w:val="auto"/>
        </w:rPr>
      </w:pPr>
      <w:r>
        <w:rPr>
          <w:rFonts w:ascii="Arial" w:cs="Arial" w:eastAsia="Arial" w:hAnsi="Arial"/>
          <w:sz w:val="16"/>
          <w:szCs w:val="16"/>
          <w:color w:val="3E474E"/>
        </w:rPr>
        <w:t>Theodore Bigman is an experienced investment leader with expertise across real estate and global financial markets. He brings deep knowledge of REITs, listed real assets, and capital markets, including advising institutional investors on real estate allocation strategies to support growth. Mr. Bigman’s experience supports the Board’s oversight of portfolio strategy for long-term shareholder value creation.</w:t>
      </w:r>
    </w:p>
    <w:p>
      <w:pPr>
        <w:spacing w:after="0" w:line="200" w:lineRule="exact"/>
        <w:rPr>
          <w:sz w:val="20"/>
          <w:szCs w:val="20"/>
          <w:color w:val="auto"/>
        </w:rPr>
      </w:pPr>
    </w:p>
    <w:p>
      <w:pPr>
        <w:ind w:left="7" w:right="280"/>
        <w:spacing w:after="0" w:line="265" w:lineRule="auto"/>
        <w:rPr>
          <w:sz w:val="20"/>
          <w:szCs w:val="20"/>
          <w:color w:val="auto"/>
        </w:rPr>
      </w:pPr>
      <w:r>
        <w:rPr>
          <w:rFonts w:ascii="Arial" w:cs="Arial" w:eastAsia="Arial" w:hAnsi="Arial"/>
          <w:sz w:val="16"/>
          <w:szCs w:val="16"/>
          <w:color w:val="3E474E"/>
        </w:rPr>
        <w:t>Mr. Bigman offers a unique combination of operator-facing real estate insight and global investor perspective, enabling the Board to view portfolio and capital decisions through both the owner and capital provider lens. His experience evaluating real estate platforms, asset quality, and management execution across cycles is directly relevant to AH Realty as it continues to scale its portfolio, optimize capital structures, and position the business for sustainable long-term growth.</w:t>
      </w:r>
    </w:p>
    <w:p>
      <w:pPr>
        <w:spacing w:after="0" w:line="200" w:lineRule="exact"/>
        <w:rPr>
          <w:sz w:val="20"/>
          <w:szCs w:val="20"/>
          <w:color w:val="auto"/>
        </w:rPr>
      </w:pPr>
    </w:p>
    <w:p>
      <w:pPr>
        <w:spacing w:after="0" w:line="242" w:lineRule="exact"/>
        <w:rPr>
          <w:sz w:val="20"/>
          <w:szCs w:val="20"/>
          <w:color w:val="auto"/>
        </w:rPr>
      </w:pPr>
    </w:p>
    <w:p>
      <w:pPr>
        <w:ind w:left="7"/>
        <w:spacing w:after="0"/>
        <w:rPr>
          <w:sz w:val="20"/>
          <w:szCs w:val="20"/>
          <w:color w:val="auto"/>
        </w:rPr>
      </w:pPr>
      <w:r>
        <w:rPr>
          <w:rFonts w:ascii="Arial" w:cs="Arial" w:eastAsia="Arial" w:hAnsi="Arial"/>
          <w:sz w:val="16"/>
          <w:szCs w:val="16"/>
          <w:color w:val="3E474E"/>
        </w:rPr>
        <w:t>Key Skills and Expertise</w:t>
      </w:r>
    </w:p>
    <w:p>
      <w:pPr>
        <w:spacing w:after="0" w:line="21" w:lineRule="exact"/>
        <w:rPr>
          <w:sz w:val="20"/>
          <w:szCs w:val="20"/>
          <w:color w:val="auto"/>
        </w:rPr>
      </w:pPr>
    </w:p>
    <w:p>
      <w:pPr>
        <w:jc w:val="both"/>
        <w:ind w:left="7" w:right="300" w:hanging="7"/>
        <w:spacing w:after="0" w:line="258" w:lineRule="auto"/>
        <w:tabs>
          <w:tab w:leader="none" w:pos="108" w:val="left"/>
        </w:tabs>
        <w:numPr>
          <w:ilvl w:val="0"/>
          <w:numId w:val="31"/>
        </w:numPr>
        <w:rPr>
          <w:rFonts w:ascii="Arial" w:cs="Arial" w:eastAsia="Arial" w:hAnsi="Arial"/>
          <w:sz w:val="16"/>
          <w:szCs w:val="16"/>
          <w:color w:val="3E474E"/>
        </w:rPr>
      </w:pPr>
      <w:r>
        <w:rPr>
          <w:rFonts w:ascii="Arial" w:cs="Arial" w:eastAsia="Arial" w:hAnsi="Arial"/>
          <w:sz w:val="16"/>
          <w:szCs w:val="16"/>
          <w:color w:val="3E474E"/>
        </w:rPr>
        <w:t>At Morgan Stanley Investment Management, Mr. Bigman built the Global Listed Real Assets business, growing it from inception to more than $25 billion in assets under management. He advised institutional investors globally on real estate allocation strategies and engaged extensively with REIT management teams and boards to assist the companies in attaining better share price valuations.</w:t>
      </w:r>
    </w:p>
    <w:p>
      <w:pPr>
        <w:spacing w:after="0" w:line="218" w:lineRule="exact"/>
        <w:rPr>
          <w:rFonts w:ascii="Arial" w:cs="Arial" w:eastAsia="Arial" w:hAnsi="Arial"/>
          <w:sz w:val="16"/>
          <w:szCs w:val="16"/>
          <w:color w:val="3E474E"/>
        </w:rPr>
      </w:pPr>
    </w:p>
    <w:p>
      <w:pPr>
        <w:ind w:left="7" w:right="100" w:hanging="7"/>
        <w:spacing w:after="0" w:line="260" w:lineRule="auto"/>
        <w:tabs>
          <w:tab w:leader="none" w:pos="108" w:val="left"/>
        </w:tabs>
        <w:numPr>
          <w:ilvl w:val="0"/>
          <w:numId w:val="31"/>
        </w:numPr>
        <w:rPr>
          <w:rFonts w:ascii="Arial" w:cs="Arial" w:eastAsia="Arial" w:hAnsi="Arial"/>
          <w:sz w:val="16"/>
          <w:szCs w:val="16"/>
          <w:color w:val="3E474E"/>
        </w:rPr>
      </w:pPr>
      <w:r>
        <w:rPr>
          <w:rFonts w:ascii="Arial" w:cs="Arial" w:eastAsia="Arial" w:hAnsi="Arial"/>
          <w:sz w:val="16"/>
          <w:szCs w:val="16"/>
          <w:color w:val="3E474E"/>
        </w:rPr>
        <w:t>Drawing on his extensive industry experience, Mr. Bigman has advised REIT management teams and boards and currently serves as a member of the Board of Directors of Ventas, Inc., an S&amp;P 500 healthcare REIT with an equity market capitalization of approximately $40 billion. He was awarded the National Association of Real Estate Investment Trusts (Nareit) Industry Achievement Award in recognition of his leadership and contributions to the REIT industry.</w:t>
      </w:r>
    </w:p>
    <w:p>
      <w:pPr>
        <w:spacing w:after="0" w:line="218" w:lineRule="exact"/>
        <w:rPr>
          <w:rFonts w:ascii="Arial" w:cs="Arial" w:eastAsia="Arial" w:hAnsi="Arial"/>
          <w:sz w:val="16"/>
          <w:szCs w:val="16"/>
          <w:color w:val="3E474E"/>
        </w:rPr>
      </w:pPr>
    </w:p>
    <w:p>
      <w:pPr>
        <w:ind w:left="7" w:right="40" w:hanging="7"/>
        <w:spacing w:after="0" w:line="265" w:lineRule="auto"/>
        <w:tabs>
          <w:tab w:leader="none" w:pos="108" w:val="left"/>
        </w:tabs>
        <w:numPr>
          <w:ilvl w:val="0"/>
          <w:numId w:val="31"/>
        </w:numPr>
        <w:rPr>
          <w:rFonts w:ascii="Arial" w:cs="Arial" w:eastAsia="Arial" w:hAnsi="Arial"/>
          <w:sz w:val="16"/>
          <w:szCs w:val="16"/>
          <w:color w:val="3E474E"/>
        </w:rPr>
      </w:pPr>
      <w:r>
        <w:rPr>
          <w:rFonts w:ascii="Arial" w:cs="Arial" w:eastAsia="Arial" w:hAnsi="Arial"/>
          <w:sz w:val="16"/>
          <w:szCs w:val="16"/>
          <w:color w:val="3E474E"/>
        </w:rPr>
        <w:t>Mr. Bigman began his career in investment banking and consulting, including roles at Credit Suisse First Boston and Bain &amp; Company. At Credit Suisse he advised on real estate transactions and strategic initiatives, including six completed US REIT initial public offerings. His background in capital markets and strategic advisory provides the Board with valuable insight into transaction execution and disciplined investment decision-making.</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6"/>
          <w:szCs w:val="16"/>
          <w:color w:val="3E474E"/>
        </w:rPr>
        <w:t>Career Highlights</w:t>
      </w:r>
    </w:p>
    <w:p>
      <w:pPr>
        <w:spacing w:after="0" w:line="31" w:lineRule="exact"/>
        <w:rPr>
          <w:sz w:val="20"/>
          <w:szCs w:val="20"/>
          <w:color w:val="auto"/>
        </w:rPr>
      </w:pPr>
    </w:p>
    <w:p>
      <w:pPr>
        <w:ind w:left="7"/>
        <w:spacing w:after="0"/>
        <w:rPr>
          <w:sz w:val="20"/>
          <w:szCs w:val="20"/>
          <w:color w:val="auto"/>
        </w:rPr>
      </w:pPr>
      <w:r>
        <w:rPr>
          <w:rFonts w:ascii="Arial" w:cs="Arial" w:eastAsia="Arial" w:hAnsi="Arial"/>
          <w:sz w:val="16"/>
          <w:szCs w:val="16"/>
          <w:color w:val="3E474E"/>
        </w:rPr>
        <w:t>Harvard Business School – the graduate business school of Harvard University</w:t>
      </w:r>
    </w:p>
    <w:p>
      <w:pPr>
        <w:spacing w:after="0" w:line="9" w:lineRule="exact"/>
        <w:rPr>
          <w:sz w:val="20"/>
          <w:szCs w:val="20"/>
          <w:color w:val="auto"/>
        </w:rPr>
      </w:pPr>
    </w:p>
    <w:p>
      <w:pPr>
        <w:ind w:left="7"/>
        <w:spacing w:after="0"/>
        <w:rPr>
          <w:sz w:val="20"/>
          <w:szCs w:val="20"/>
          <w:color w:val="auto"/>
        </w:rPr>
      </w:pPr>
      <w:r>
        <w:rPr>
          <w:rFonts w:ascii="Arial" w:cs="Arial" w:eastAsia="Arial" w:hAnsi="Arial"/>
          <w:sz w:val="16"/>
          <w:szCs w:val="16"/>
          <w:color w:val="3E474E"/>
        </w:rPr>
        <w:t>• Executive Fellow (since 2024)</w:t>
      </w:r>
    </w:p>
    <w:p>
      <w:pPr>
        <w:spacing w:after="0" w:line="246" w:lineRule="exact"/>
        <w:rPr>
          <w:sz w:val="20"/>
          <w:szCs w:val="20"/>
          <w:color w:val="auto"/>
        </w:rPr>
      </w:pPr>
    </w:p>
    <w:p>
      <w:pPr>
        <w:ind w:left="7"/>
        <w:spacing w:after="0"/>
        <w:rPr>
          <w:sz w:val="20"/>
          <w:szCs w:val="20"/>
          <w:color w:val="auto"/>
        </w:rPr>
      </w:pPr>
      <w:r>
        <w:rPr>
          <w:rFonts w:ascii="Arial" w:cs="Arial" w:eastAsia="Arial" w:hAnsi="Arial"/>
          <w:sz w:val="16"/>
          <w:szCs w:val="16"/>
          <w:color w:val="3E474E"/>
        </w:rPr>
        <w:t>Bigman Holdings – a family investment office</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3E474E"/>
        </w:rPr>
        <w:t>• Founder and Chief Investment Officer (since 2021)</w:t>
      </w:r>
    </w:p>
    <w:p>
      <w:pPr>
        <w:spacing w:after="0" w:line="232" w:lineRule="exact"/>
        <w:rPr>
          <w:sz w:val="20"/>
          <w:szCs w:val="20"/>
          <w:color w:val="auto"/>
        </w:rPr>
      </w:pPr>
    </w:p>
    <w:p>
      <w:pPr>
        <w:ind w:left="7" w:right="200"/>
        <w:spacing w:after="0" w:line="265" w:lineRule="auto"/>
        <w:rPr>
          <w:sz w:val="20"/>
          <w:szCs w:val="20"/>
          <w:color w:val="auto"/>
        </w:rPr>
      </w:pPr>
      <w:r>
        <w:rPr>
          <w:rFonts w:ascii="Arial" w:cs="Arial" w:eastAsia="Arial" w:hAnsi="Arial"/>
          <w:sz w:val="16"/>
          <w:szCs w:val="16"/>
          <w:color w:val="3E474E"/>
        </w:rPr>
        <w:t>Morgan Stanley Investment Management – an investment management division of Morgan Stanley (NYSE: MS) an investment bank and financial services company</w:t>
      </w:r>
    </w:p>
    <w:p>
      <w:pPr>
        <w:spacing w:after="0" w:line="1" w:lineRule="exact"/>
        <w:rPr>
          <w:sz w:val="20"/>
          <w:szCs w:val="20"/>
          <w:color w:val="auto"/>
        </w:rPr>
      </w:pPr>
    </w:p>
    <w:p>
      <w:pPr>
        <w:ind w:left="7"/>
        <w:spacing w:after="0"/>
        <w:rPr>
          <w:sz w:val="20"/>
          <w:szCs w:val="20"/>
          <w:color w:val="auto"/>
        </w:rPr>
      </w:pPr>
      <w:r>
        <w:rPr>
          <w:rFonts w:ascii="Arial" w:cs="Arial" w:eastAsia="Arial" w:hAnsi="Arial"/>
          <w:sz w:val="16"/>
          <w:szCs w:val="16"/>
          <w:color w:val="3E474E"/>
        </w:rPr>
        <w:t>• Managing Director and Head of Global Listed Real Assets Investing (1995-2021)</w:t>
      </w:r>
    </w:p>
    <w:p>
      <w:pPr>
        <w:spacing w:after="0" w:line="246" w:lineRule="exact"/>
        <w:rPr>
          <w:sz w:val="20"/>
          <w:szCs w:val="20"/>
          <w:color w:val="auto"/>
        </w:rPr>
      </w:pPr>
    </w:p>
    <w:p>
      <w:pPr>
        <w:ind w:left="7" w:right="680"/>
        <w:spacing w:after="0" w:line="286" w:lineRule="auto"/>
        <w:rPr>
          <w:sz w:val="20"/>
          <w:szCs w:val="20"/>
          <w:color w:val="auto"/>
        </w:rPr>
      </w:pPr>
      <w:r>
        <w:rPr>
          <w:rFonts w:ascii="Arial" w:cs="Arial" w:eastAsia="Arial" w:hAnsi="Arial"/>
          <w:sz w:val="16"/>
          <w:szCs w:val="16"/>
          <w:color w:val="3E474E"/>
        </w:rPr>
        <w:t>Credit Suisse First Boston (formerly NYSE: CS) – an investment banking division of Credit Suisse Group AG • Real Estate Investment Banker (1987-1995)</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6"/>
          <w:szCs w:val="16"/>
          <w:color w:val="3E474E"/>
        </w:rPr>
        <w:t>Bain &amp; Company – a management consulting company</w:t>
      </w:r>
    </w:p>
    <w:p>
      <w:pPr>
        <w:spacing w:after="0" w:line="31" w:lineRule="exact"/>
        <w:rPr>
          <w:sz w:val="20"/>
          <w:szCs w:val="20"/>
          <w:color w:val="auto"/>
        </w:rPr>
      </w:pPr>
    </w:p>
    <w:p>
      <w:pPr>
        <w:ind w:left="7"/>
        <w:spacing w:after="0"/>
        <w:rPr>
          <w:sz w:val="20"/>
          <w:szCs w:val="20"/>
          <w:color w:val="auto"/>
        </w:rPr>
      </w:pPr>
      <w:r>
        <w:rPr>
          <w:rFonts w:ascii="Arial" w:cs="Arial" w:eastAsia="Arial" w:hAnsi="Arial"/>
          <w:sz w:val="16"/>
          <w:szCs w:val="16"/>
          <w:color w:val="3E474E"/>
        </w:rPr>
        <w:t>• Associate Consultant (1983-1985)</w:t>
      </w:r>
    </w:p>
    <w:p>
      <w:pPr>
        <w:spacing w:after="0" w:line="200" w:lineRule="exact"/>
        <w:rPr>
          <w:sz w:val="20"/>
          <w:szCs w:val="20"/>
          <w:color w:val="auto"/>
        </w:rPr>
      </w:pPr>
    </w:p>
    <w:p>
      <w:pPr>
        <w:sectPr>
          <w:pgSz w:w="11900" w:h="16838" w:orient="portrait"/>
          <w:cols w:equalWidth="0" w:num="2">
            <w:col w:w="2380" w:space="413"/>
            <w:col w:w="8447"/>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11</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747C83"/>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735330</wp:posOffset>
            </wp:positionV>
            <wp:extent cx="7003415" cy="5014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3415" cy="501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0"/>
        <w:spacing w:after="0"/>
        <w:tabs>
          <w:tab w:leader="none" w:pos="2580" w:val="left"/>
        </w:tabs>
        <w:rPr>
          <w:sz w:val="20"/>
          <w:szCs w:val="20"/>
          <w:color w:val="auto"/>
        </w:rPr>
      </w:pPr>
      <w:r>
        <w:rPr>
          <w:rFonts w:ascii="Arial" w:cs="Arial" w:eastAsia="Arial" w:hAnsi="Arial"/>
          <w:sz w:val="22"/>
          <w:szCs w:val="22"/>
          <w:b w:val="1"/>
          <w:bCs w:val="1"/>
          <w:color w:val="1478A3"/>
        </w:rPr>
        <w:t>Jennifer R. Boykin</w:t>
      </w:r>
      <w:r>
        <w:rPr>
          <w:sz w:val="20"/>
          <w:szCs w:val="20"/>
          <w:color w:val="auto"/>
        </w:rPr>
        <w:tab/>
      </w:r>
      <w:r>
        <w:rPr>
          <w:rFonts w:ascii="Arial" w:cs="Arial" w:eastAsia="Arial" w:hAnsi="Arial"/>
          <w:sz w:val="21"/>
          <w:szCs w:val="21"/>
          <w:b w:val="1"/>
          <w:bCs w:val="1"/>
          <w:color w:val="1478A3"/>
        </w:rPr>
        <w:t>Independent Director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Director Since</w:t>
      </w:r>
      <w:r>
        <w:rPr>
          <w:rFonts w:ascii="Arial" w:cs="Arial" w:eastAsia="Arial" w:hAnsi="Arial"/>
          <w:sz w:val="16"/>
          <w:szCs w:val="16"/>
          <w:b w:val="1"/>
          <w:bCs w:val="1"/>
          <w:color w:val="3E474E"/>
        </w:rPr>
        <w:t>:</w:t>
      </w:r>
      <w:r>
        <w:rPr>
          <w:rFonts w:ascii="Arial" w:cs="Arial" w:eastAsia="Arial" w:hAnsi="Arial"/>
          <w:sz w:val="16"/>
          <w:szCs w:val="16"/>
          <w:color w:val="3E474E"/>
        </w:rPr>
        <w:t xml:space="preserve"> 2025</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Committees:</w:t>
      </w:r>
    </w:p>
    <w:p>
      <w:pPr>
        <w:spacing w:after="0" w:line="31" w:lineRule="exact"/>
        <w:rPr>
          <w:sz w:val="20"/>
          <w:szCs w:val="20"/>
          <w:color w:val="auto"/>
        </w:rPr>
      </w:pPr>
    </w:p>
    <w:p>
      <w:pPr>
        <w:ind w:left="120" w:hanging="94"/>
        <w:spacing w:after="0"/>
        <w:tabs>
          <w:tab w:leader="none" w:pos="120" w:val="left"/>
        </w:tabs>
        <w:numPr>
          <w:ilvl w:val="0"/>
          <w:numId w:val="32"/>
        </w:numPr>
        <w:rPr>
          <w:rFonts w:ascii="Arial" w:cs="Arial" w:eastAsia="Arial" w:hAnsi="Arial"/>
          <w:sz w:val="16"/>
          <w:szCs w:val="16"/>
          <w:color w:val="3E474E"/>
        </w:rPr>
      </w:pPr>
      <w:r>
        <w:rPr>
          <w:rFonts w:ascii="Arial" w:cs="Arial" w:eastAsia="Arial" w:hAnsi="Arial"/>
          <w:sz w:val="16"/>
          <w:szCs w:val="16"/>
          <w:color w:val="3E474E"/>
        </w:rPr>
        <w:t>Compensation</w:t>
      </w:r>
    </w:p>
    <w:p>
      <w:pPr>
        <w:spacing w:after="0" w:line="8" w:lineRule="exact"/>
        <w:rPr>
          <w:rFonts w:ascii="Arial" w:cs="Arial" w:eastAsia="Arial" w:hAnsi="Arial"/>
          <w:sz w:val="16"/>
          <w:szCs w:val="16"/>
          <w:color w:val="3E474E"/>
        </w:rPr>
      </w:pPr>
    </w:p>
    <w:p>
      <w:pPr>
        <w:ind w:left="120" w:hanging="94"/>
        <w:spacing w:after="0"/>
        <w:tabs>
          <w:tab w:leader="none" w:pos="120" w:val="left"/>
        </w:tabs>
        <w:numPr>
          <w:ilvl w:val="0"/>
          <w:numId w:val="32"/>
        </w:numPr>
        <w:rPr>
          <w:rFonts w:ascii="Arial" w:cs="Arial" w:eastAsia="Arial" w:hAnsi="Arial"/>
          <w:sz w:val="16"/>
          <w:szCs w:val="16"/>
          <w:color w:val="3E474E"/>
        </w:rPr>
      </w:pPr>
      <w:r>
        <w:rPr>
          <w:rFonts w:ascii="Arial" w:cs="Arial" w:eastAsia="Arial" w:hAnsi="Arial"/>
          <w:sz w:val="16"/>
          <w:szCs w:val="16"/>
          <w:color w:val="3E474E"/>
        </w:rPr>
        <w:t>Nominating and Corporate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Governance</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Age: 61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Education:</w:t>
      </w:r>
    </w:p>
    <w:p>
      <w:pPr>
        <w:spacing w:after="0" w:line="31" w:lineRule="exact"/>
        <w:rPr>
          <w:sz w:val="20"/>
          <w:szCs w:val="20"/>
          <w:color w:val="auto"/>
        </w:rPr>
      </w:pPr>
    </w:p>
    <w:p>
      <w:pPr>
        <w:ind w:left="20" w:right="200" w:firstLine="6"/>
        <w:spacing w:after="0" w:line="254" w:lineRule="auto"/>
        <w:tabs>
          <w:tab w:leader="none" w:pos="122" w:val="left"/>
        </w:tabs>
        <w:numPr>
          <w:ilvl w:val="0"/>
          <w:numId w:val="33"/>
        </w:numPr>
        <w:rPr>
          <w:rFonts w:ascii="Arial" w:cs="Arial" w:eastAsia="Arial" w:hAnsi="Arial"/>
          <w:sz w:val="16"/>
          <w:szCs w:val="16"/>
          <w:color w:val="3E474E"/>
        </w:rPr>
      </w:pPr>
      <w:r>
        <w:rPr>
          <w:rFonts w:ascii="Arial" w:cs="Arial" w:eastAsia="Arial" w:hAnsi="Arial"/>
          <w:sz w:val="16"/>
          <w:szCs w:val="16"/>
          <w:color w:val="3E474E"/>
        </w:rPr>
        <w:t>B.S., Marine Engineering, U.S. Merchant Marine Academy</w:t>
      </w:r>
    </w:p>
    <w:p>
      <w:pPr>
        <w:ind w:left="20" w:firstLine="6"/>
        <w:spacing w:after="0" w:line="258" w:lineRule="auto"/>
        <w:tabs>
          <w:tab w:leader="none" w:pos="122" w:val="left"/>
        </w:tabs>
        <w:numPr>
          <w:ilvl w:val="0"/>
          <w:numId w:val="33"/>
        </w:numPr>
        <w:rPr>
          <w:rFonts w:ascii="Arial" w:cs="Arial" w:eastAsia="Arial" w:hAnsi="Arial"/>
          <w:sz w:val="16"/>
          <w:szCs w:val="16"/>
          <w:color w:val="3E474E"/>
        </w:rPr>
      </w:pPr>
      <w:r>
        <w:rPr>
          <w:rFonts w:ascii="Arial" w:cs="Arial" w:eastAsia="Arial" w:hAnsi="Arial"/>
          <w:sz w:val="16"/>
          <w:szCs w:val="16"/>
          <w:color w:val="3E474E"/>
        </w:rPr>
        <w:t>M.S., Engineering Management, The George Washington University School of Engineering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
        <w:spacing w:after="0"/>
        <w:rPr>
          <w:sz w:val="20"/>
          <w:szCs w:val="20"/>
          <w:color w:val="auto"/>
        </w:rPr>
      </w:pPr>
      <w:r>
        <w:rPr>
          <w:rFonts w:ascii="Arial" w:cs="Arial" w:eastAsia="Arial" w:hAnsi="Arial"/>
          <w:sz w:val="16"/>
          <w:szCs w:val="16"/>
          <w:color w:val="3E474E"/>
        </w:rPr>
        <w:t>Reasons for Nomination</w:t>
      </w:r>
    </w:p>
    <w:p>
      <w:pPr>
        <w:spacing w:after="0" w:line="21" w:lineRule="exact"/>
        <w:rPr>
          <w:sz w:val="20"/>
          <w:szCs w:val="20"/>
          <w:color w:val="auto"/>
        </w:rPr>
      </w:pPr>
    </w:p>
    <w:p>
      <w:pPr>
        <w:ind w:left="9" w:right="300"/>
        <w:spacing w:after="0" w:line="260" w:lineRule="auto"/>
        <w:rPr>
          <w:sz w:val="20"/>
          <w:szCs w:val="20"/>
          <w:color w:val="auto"/>
        </w:rPr>
      </w:pPr>
      <w:r>
        <w:rPr>
          <w:rFonts w:ascii="Arial" w:cs="Arial" w:eastAsia="Arial" w:hAnsi="Arial"/>
          <w:sz w:val="16"/>
          <w:szCs w:val="16"/>
          <w:color w:val="3E474E"/>
        </w:rPr>
        <w:t>Jennifer Boykin brings over three decades of leadership experience overseeing complex, large-scale industrial operations. She offers the Board deep expertise in operational execution, cost discipline, large-scale asset development, and digital innovation. Her proven ability to lead organizations through periods of substantial change and deliver results in highly technical, capital-intensive environments enhances the Board’s oversight of performance and long-term value creation.</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16"/>
          <w:szCs w:val="16"/>
          <w:color w:val="3E474E"/>
        </w:rPr>
        <w:t>Key Skills and Expertise</w:t>
      </w:r>
    </w:p>
    <w:p>
      <w:pPr>
        <w:spacing w:after="0" w:line="31" w:lineRule="exact"/>
        <w:rPr>
          <w:sz w:val="20"/>
          <w:szCs w:val="20"/>
          <w:color w:val="auto"/>
        </w:rPr>
      </w:pPr>
    </w:p>
    <w:p>
      <w:pPr>
        <w:ind w:left="9" w:right="260" w:hanging="9"/>
        <w:spacing w:after="0" w:line="256" w:lineRule="auto"/>
        <w:tabs>
          <w:tab w:leader="none" w:pos="111" w:val="left"/>
        </w:tabs>
        <w:numPr>
          <w:ilvl w:val="0"/>
          <w:numId w:val="34"/>
        </w:numPr>
        <w:rPr>
          <w:rFonts w:ascii="Arial" w:cs="Arial" w:eastAsia="Arial" w:hAnsi="Arial"/>
          <w:sz w:val="16"/>
          <w:szCs w:val="16"/>
          <w:color w:val="3E474E"/>
        </w:rPr>
      </w:pPr>
      <w:r>
        <w:rPr>
          <w:rFonts w:ascii="Arial" w:cs="Arial" w:eastAsia="Arial" w:hAnsi="Arial"/>
          <w:sz w:val="16"/>
          <w:szCs w:val="16"/>
          <w:color w:val="3E474E"/>
        </w:rPr>
        <w:t>As President of Newport News Shipbuilding, Ms. Boykin led the company’s largest division with full P&amp;L responsibility for the $6 billion division. She oversaw more than 26,000 employees engaged in the design, construction, and maintenance of nuclear-powered aircraft carriers and submarines. She led the organization through a period of significant operational complexity, including sustaining uninterrupted production during the COVID-19 pandemic.</w:t>
      </w:r>
    </w:p>
    <w:p>
      <w:pPr>
        <w:spacing w:after="0" w:line="221" w:lineRule="exact"/>
        <w:rPr>
          <w:rFonts w:ascii="Arial" w:cs="Arial" w:eastAsia="Arial" w:hAnsi="Arial"/>
          <w:sz w:val="16"/>
          <w:szCs w:val="16"/>
          <w:color w:val="3E474E"/>
        </w:rPr>
      </w:pPr>
    </w:p>
    <w:p>
      <w:pPr>
        <w:ind w:left="9" w:right="260" w:hanging="9"/>
        <w:spacing w:after="0" w:line="265" w:lineRule="auto"/>
        <w:tabs>
          <w:tab w:leader="none" w:pos="111" w:val="left"/>
        </w:tabs>
        <w:numPr>
          <w:ilvl w:val="0"/>
          <w:numId w:val="34"/>
        </w:numPr>
        <w:rPr>
          <w:rFonts w:ascii="Arial" w:cs="Arial" w:eastAsia="Arial" w:hAnsi="Arial"/>
          <w:sz w:val="16"/>
          <w:szCs w:val="16"/>
          <w:color w:val="3E474E"/>
        </w:rPr>
      </w:pPr>
      <w:r>
        <w:rPr>
          <w:rFonts w:ascii="Arial" w:cs="Arial" w:eastAsia="Arial" w:hAnsi="Arial"/>
          <w:sz w:val="16"/>
          <w:szCs w:val="16"/>
          <w:color w:val="3E474E"/>
        </w:rPr>
        <w:t>Ms. Boykin has extensive experience overseeing large, complex capital programs, including advancing the first two-ship aircraft carrier procurement in more than 30 years and securing the award of the largest shipbuilding contract in U.S. Navy history for Virginia-class submarines. She also led the launch of digital shipbuilding capabilities, enabling the transition to digital design and construction to drive operational efficiencies.</w:t>
      </w:r>
    </w:p>
    <w:p>
      <w:pPr>
        <w:spacing w:after="0" w:line="199" w:lineRule="exact"/>
        <w:rPr>
          <w:rFonts w:ascii="Arial" w:cs="Arial" w:eastAsia="Arial" w:hAnsi="Arial"/>
          <w:sz w:val="16"/>
          <w:szCs w:val="16"/>
          <w:color w:val="3E474E"/>
        </w:rPr>
      </w:pPr>
    </w:p>
    <w:p>
      <w:pPr>
        <w:ind w:left="9" w:right="240" w:hanging="9"/>
        <w:spacing w:after="0" w:line="265" w:lineRule="auto"/>
        <w:tabs>
          <w:tab w:leader="none" w:pos="111" w:val="left"/>
        </w:tabs>
        <w:numPr>
          <w:ilvl w:val="0"/>
          <w:numId w:val="34"/>
        </w:numPr>
        <w:rPr>
          <w:rFonts w:ascii="Arial" w:cs="Arial" w:eastAsia="Arial" w:hAnsi="Arial"/>
          <w:sz w:val="16"/>
          <w:szCs w:val="16"/>
          <w:color w:val="3E474E"/>
        </w:rPr>
      </w:pPr>
      <w:r>
        <w:rPr>
          <w:rFonts w:ascii="Arial" w:cs="Arial" w:eastAsia="Arial" w:hAnsi="Arial"/>
          <w:sz w:val="16"/>
          <w:szCs w:val="16"/>
          <w:color w:val="3E474E"/>
        </w:rPr>
        <w:t>Through her experience across engineering, design, construction, and quality roles, Ms. Boykin offers a deep understanding of the full lifecycle of complex assets, supporting the Board’s oversight of asset strategy and project execution. Appointed by the President of the United States, Ms. Boykin served as a member of the U.S. Merchant Marine Academy Board of Visitors in 2019, providing oversight on governance, fiscal matters, and strategic initiatives.</w:t>
      </w:r>
    </w:p>
    <w:p>
      <w:pPr>
        <w:spacing w:after="0" w:line="213" w:lineRule="exact"/>
        <w:rPr>
          <w:sz w:val="20"/>
          <w:szCs w:val="20"/>
          <w:color w:val="auto"/>
        </w:rPr>
      </w:pPr>
    </w:p>
    <w:p>
      <w:pPr>
        <w:ind w:left="9"/>
        <w:spacing w:after="0"/>
        <w:rPr>
          <w:sz w:val="20"/>
          <w:szCs w:val="20"/>
          <w:color w:val="auto"/>
        </w:rPr>
      </w:pPr>
      <w:r>
        <w:rPr>
          <w:rFonts w:ascii="Arial" w:cs="Arial" w:eastAsia="Arial" w:hAnsi="Arial"/>
          <w:sz w:val="16"/>
          <w:szCs w:val="16"/>
          <w:color w:val="3E474E"/>
        </w:rPr>
        <w:t>Career Highlights</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6"/>
          <w:szCs w:val="16"/>
          <w:color w:val="3E474E"/>
        </w:rPr>
        <w:t>Huntington Ingalls Industries (NYSE: HII) – U.S. shipbuilding and defense company</w:t>
      </w:r>
    </w:p>
    <w:p>
      <w:pPr>
        <w:spacing w:after="0" w:line="15" w:lineRule="exact"/>
        <w:rPr>
          <w:sz w:val="20"/>
          <w:szCs w:val="20"/>
          <w:color w:val="auto"/>
        </w:rPr>
      </w:pPr>
    </w:p>
    <w:p>
      <w:pPr>
        <w:ind w:left="109" w:hanging="109"/>
        <w:spacing w:after="0"/>
        <w:tabs>
          <w:tab w:leader="none" w:pos="109" w:val="left"/>
        </w:tabs>
        <w:numPr>
          <w:ilvl w:val="0"/>
          <w:numId w:val="35"/>
        </w:numPr>
        <w:rPr>
          <w:rFonts w:ascii="Arial" w:cs="Arial" w:eastAsia="Arial" w:hAnsi="Arial"/>
          <w:sz w:val="16"/>
          <w:szCs w:val="16"/>
          <w:color w:val="3E474E"/>
        </w:rPr>
      </w:pPr>
      <w:r>
        <w:rPr>
          <w:rFonts w:ascii="Arial" w:cs="Arial" w:eastAsia="Arial" w:hAnsi="Arial"/>
          <w:sz w:val="16"/>
          <w:szCs w:val="16"/>
          <w:color w:val="3E474E"/>
        </w:rPr>
        <w:t>Executive Vice President, Huntington Ingalls Industries and President, Newport News Shipbuilding (2017-2024)</w:t>
      </w:r>
    </w:p>
    <w:p>
      <w:pPr>
        <w:spacing w:after="0" w:line="8" w:lineRule="exact"/>
        <w:rPr>
          <w:rFonts w:ascii="Arial" w:cs="Arial" w:eastAsia="Arial" w:hAnsi="Arial"/>
          <w:sz w:val="16"/>
          <w:szCs w:val="16"/>
          <w:color w:val="3E474E"/>
        </w:rPr>
      </w:pPr>
    </w:p>
    <w:p>
      <w:pPr>
        <w:ind w:left="109" w:hanging="109"/>
        <w:spacing w:after="0"/>
        <w:tabs>
          <w:tab w:leader="none" w:pos="109" w:val="left"/>
        </w:tabs>
        <w:numPr>
          <w:ilvl w:val="0"/>
          <w:numId w:val="35"/>
        </w:numPr>
        <w:rPr>
          <w:rFonts w:ascii="Arial" w:cs="Arial" w:eastAsia="Arial" w:hAnsi="Arial"/>
          <w:sz w:val="16"/>
          <w:szCs w:val="16"/>
          <w:color w:val="3E474E"/>
        </w:rPr>
      </w:pPr>
      <w:r>
        <w:rPr>
          <w:rFonts w:ascii="Arial" w:cs="Arial" w:eastAsia="Arial" w:hAnsi="Arial"/>
          <w:sz w:val="16"/>
          <w:szCs w:val="16"/>
          <w:color w:val="3E474E"/>
        </w:rPr>
        <w:t>Vice President, Engineering and Design, Newport News Shipbuilding (2012-2017)</w:t>
      </w:r>
    </w:p>
    <w:p>
      <w:pPr>
        <w:spacing w:after="0" w:line="5" w:lineRule="exact"/>
        <w:rPr>
          <w:rFonts w:ascii="Arial" w:cs="Arial" w:eastAsia="Arial" w:hAnsi="Arial"/>
          <w:sz w:val="16"/>
          <w:szCs w:val="16"/>
          <w:color w:val="3E474E"/>
        </w:rPr>
      </w:pPr>
    </w:p>
    <w:p>
      <w:pPr>
        <w:ind w:left="109" w:hanging="109"/>
        <w:spacing w:after="0"/>
        <w:tabs>
          <w:tab w:leader="none" w:pos="109" w:val="left"/>
        </w:tabs>
        <w:numPr>
          <w:ilvl w:val="0"/>
          <w:numId w:val="35"/>
        </w:numPr>
        <w:rPr>
          <w:rFonts w:ascii="Arial" w:cs="Arial" w:eastAsia="Arial" w:hAnsi="Arial"/>
          <w:sz w:val="16"/>
          <w:szCs w:val="16"/>
          <w:color w:val="3E474E"/>
        </w:rPr>
      </w:pPr>
      <w:r>
        <w:rPr>
          <w:rFonts w:ascii="Arial" w:cs="Arial" w:eastAsia="Arial" w:hAnsi="Arial"/>
          <w:sz w:val="16"/>
          <w:szCs w:val="16"/>
          <w:color w:val="3E474E"/>
        </w:rPr>
        <w:t>Various leadership and operations roles, including Vice President of Quality and Process Excellence, Director of</w:t>
      </w:r>
    </w:p>
    <w:p>
      <w:pPr>
        <w:spacing w:after="0" w:line="15" w:lineRule="exact"/>
        <w:rPr>
          <w:sz w:val="20"/>
          <w:szCs w:val="20"/>
          <w:color w:val="auto"/>
        </w:rPr>
      </w:pPr>
    </w:p>
    <w:p>
      <w:pPr>
        <w:ind w:left="9"/>
        <w:spacing w:after="0"/>
        <w:rPr>
          <w:sz w:val="20"/>
          <w:szCs w:val="20"/>
          <w:color w:val="auto"/>
        </w:rPr>
      </w:pPr>
      <w:r>
        <w:rPr>
          <w:rFonts w:ascii="Arial" w:cs="Arial" w:eastAsia="Arial" w:hAnsi="Arial"/>
          <w:sz w:val="16"/>
          <w:szCs w:val="16"/>
          <w:color w:val="3E474E"/>
        </w:rPr>
        <w:t>Facilities and Waterfront Support, and Program Manager for the Nuclear Engineering division (1987-2012)</w:t>
      </w:r>
    </w:p>
    <w:p>
      <w:pPr>
        <w:spacing w:after="0" w:line="473" w:lineRule="exact"/>
        <w:rPr>
          <w:sz w:val="20"/>
          <w:szCs w:val="20"/>
          <w:color w:val="auto"/>
        </w:rPr>
      </w:pPr>
    </w:p>
    <w:p>
      <w:pPr>
        <w:sectPr>
          <w:pgSz w:w="11900" w:h="16838" w:orient="portrait"/>
          <w:cols w:equalWidth="0" w:num="2">
            <w:col w:w="2180" w:space="411"/>
            <w:col w:w="8649"/>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12</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747C83"/>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7132320" cy="59321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593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0"/>
        <w:spacing w:after="0"/>
        <w:tabs>
          <w:tab w:leader="none" w:pos="2580" w:val="left"/>
        </w:tabs>
        <w:rPr>
          <w:sz w:val="20"/>
          <w:szCs w:val="20"/>
          <w:color w:val="auto"/>
        </w:rPr>
      </w:pPr>
      <w:r>
        <w:rPr>
          <w:rFonts w:ascii="Arial" w:cs="Arial" w:eastAsia="Arial" w:hAnsi="Arial"/>
          <w:sz w:val="22"/>
          <w:szCs w:val="22"/>
          <w:b w:val="1"/>
          <w:bCs w:val="1"/>
          <w:color w:val="1478A3"/>
        </w:rPr>
        <w:t>James A. Carroll</w:t>
      </w:r>
      <w:r>
        <w:rPr>
          <w:sz w:val="20"/>
          <w:szCs w:val="20"/>
          <w:color w:val="auto"/>
        </w:rPr>
        <w:tab/>
      </w:r>
      <w:r>
        <w:rPr>
          <w:rFonts w:ascii="Arial" w:cs="Arial" w:eastAsia="Arial" w:hAnsi="Arial"/>
          <w:sz w:val="21"/>
          <w:szCs w:val="21"/>
          <w:b w:val="1"/>
          <w:bCs w:val="1"/>
          <w:color w:val="1478A3"/>
        </w:rPr>
        <w:t>Lead Independent Director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Director Since: 2013</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Committees:</w:t>
      </w:r>
    </w:p>
    <w:p>
      <w:pPr>
        <w:spacing w:after="0" w:line="31" w:lineRule="exact"/>
        <w:rPr>
          <w:sz w:val="20"/>
          <w:szCs w:val="20"/>
          <w:color w:val="auto"/>
        </w:rPr>
      </w:pPr>
    </w:p>
    <w:p>
      <w:pPr>
        <w:ind w:left="20" w:right="1120" w:firstLine="6"/>
        <w:spacing w:after="0" w:line="564" w:lineRule="auto"/>
        <w:tabs>
          <w:tab w:leader="none" w:pos="122" w:val="left"/>
        </w:tabs>
        <w:numPr>
          <w:ilvl w:val="0"/>
          <w:numId w:val="36"/>
        </w:numPr>
        <w:rPr>
          <w:rFonts w:ascii="Arial" w:cs="Arial" w:eastAsia="Arial" w:hAnsi="Arial"/>
          <w:sz w:val="16"/>
          <w:szCs w:val="16"/>
          <w:color w:val="3E474E"/>
        </w:rPr>
      </w:pPr>
      <w:r>
        <w:rPr>
          <w:rFonts w:ascii="Arial" w:cs="Arial" w:eastAsia="Arial" w:hAnsi="Arial"/>
          <w:sz w:val="16"/>
          <w:szCs w:val="16"/>
          <w:color w:val="3E474E"/>
        </w:rPr>
        <w:t xml:space="preserve">Audit (Chair) Age: </w:t>
      </w:r>
      <w:r>
        <w:rPr>
          <w:rFonts w:ascii="Arial" w:cs="Arial" w:eastAsia="Arial" w:hAnsi="Arial"/>
          <w:sz w:val="16"/>
          <w:szCs w:val="16"/>
          <w:b w:val="1"/>
          <w:bCs w:val="1"/>
          <w:color w:val="3E474E"/>
        </w:rPr>
        <w:t>58</w:t>
      </w:r>
    </w:p>
    <w:p>
      <w:pPr>
        <w:spacing w:after="0" w:line="1" w:lineRule="exact"/>
        <w:rPr>
          <w:sz w:val="20"/>
          <w:szCs w:val="20"/>
          <w:color w:val="auto"/>
        </w:rPr>
      </w:pPr>
    </w:p>
    <w:p>
      <w:pPr>
        <w:ind w:left="20"/>
        <w:spacing w:after="0" w:line="256" w:lineRule="auto"/>
        <w:rPr>
          <w:sz w:val="20"/>
          <w:szCs w:val="20"/>
          <w:color w:val="auto"/>
        </w:rPr>
      </w:pPr>
      <w:r>
        <w:rPr>
          <w:rFonts w:ascii="Arial" w:cs="Arial" w:eastAsia="Arial" w:hAnsi="Arial"/>
          <w:sz w:val="16"/>
          <w:szCs w:val="16"/>
          <w:color w:val="3E474E"/>
        </w:rPr>
        <w:t>Other Company Directorships (past 5 years):</w:t>
      </w:r>
    </w:p>
    <w:p>
      <w:pPr>
        <w:spacing w:after="0" w:line="1" w:lineRule="exact"/>
        <w:rPr>
          <w:sz w:val="20"/>
          <w:szCs w:val="20"/>
          <w:color w:val="auto"/>
        </w:rPr>
      </w:pPr>
    </w:p>
    <w:p>
      <w:pPr>
        <w:ind w:left="20" w:right="120" w:firstLine="6"/>
        <w:spacing w:after="0" w:line="283" w:lineRule="auto"/>
        <w:tabs>
          <w:tab w:leader="none" w:pos="122" w:val="left"/>
        </w:tabs>
        <w:numPr>
          <w:ilvl w:val="0"/>
          <w:numId w:val="37"/>
        </w:numPr>
        <w:rPr>
          <w:rFonts w:ascii="Arial" w:cs="Arial" w:eastAsia="Arial" w:hAnsi="Arial"/>
          <w:sz w:val="16"/>
          <w:szCs w:val="16"/>
          <w:color w:val="3E474E"/>
        </w:rPr>
      </w:pPr>
      <w:r>
        <w:rPr>
          <w:rFonts w:ascii="Arial" w:cs="Arial" w:eastAsia="Arial" w:hAnsi="Arial"/>
          <w:sz w:val="16"/>
          <w:szCs w:val="16"/>
          <w:color w:val="3E474E"/>
        </w:rPr>
        <w:t>ServiceSource, Inc. (2012-2022)</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Education:</w:t>
      </w:r>
    </w:p>
    <w:p>
      <w:pPr>
        <w:spacing w:after="0" w:line="31" w:lineRule="exact"/>
        <w:rPr>
          <w:sz w:val="20"/>
          <w:szCs w:val="20"/>
          <w:color w:val="auto"/>
        </w:rPr>
      </w:pPr>
    </w:p>
    <w:p>
      <w:pPr>
        <w:ind w:left="20" w:right="60" w:firstLine="6"/>
        <w:spacing w:after="0" w:line="249" w:lineRule="auto"/>
        <w:tabs>
          <w:tab w:leader="none" w:pos="122" w:val="left"/>
        </w:tabs>
        <w:numPr>
          <w:ilvl w:val="0"/>
          <w:numId w:val="38"/>
        </w:numPr>
        <w:rPr>
          <w:rFonts w:ascii="Arial" w:cs="Arial" w:eastAsia="Arial" w:hAnsi="Arial"/>
          <w:sz w:val="16"/>
          <w:szCs w:val="16"/>
          <w:color w:val="3E474E"/>
        </w:rPr>
      </w:pPr>
      <w:r>
        <w:rPr>
          <w:rFonts w:ascii="Arial" w:cs="Arial" w:eastAsia="Arial" w:hAnsi="Arial"/>
          <w:sz w:val="16"/>
          <w:szCs w:val="16"/>
          <w:color w:val="3E474E"/>
        </w:rPr>
        <w:t>B.S., Systems Engineering, U.S. Naval Academy</w:t>
      </w:r>
    </w:p>
    <w:p>
      <w:pPr>
        <w:ind w:left="20" w:right="320" w:firstLine="6"/>
        <w:spacing w:after="0" w:line="283" w:lineRule="auto"/>
        <w:tabs>
          <w:tab w:leader="none" w:pos="122" w:val="left"/>
        </w:tabs>
        <w:numPr>
          <w:ilvl w:val="0"/>
          <w:numId w:val="38"/>
        </w:numPr>
        <w:rPr>
          <w:rFonts w:ascii="Arial" w:cs="Arial" w:eastAsia="Arial" w:hAnsi="Arial"/>
          <w:sz w:val="16"/>
          <w:szCs w:val="16"/>
          <w:color w:val="3E474E"/>
        </w:rPr>
      </w:pPr>
      <w:r>
        <w:rPr>
          <w:rFonts w:ascii="Arial" w:cs="Arial" w:eastAsia="Arial" w:hAnsi="Arial"/>
          <w:sz w:val="16"/>
          <w:szCs w:val="16"/>
          <w:color w:val="3E474E"/>
        </w:rPr>
        <w:t>MBA, Harvard Business School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3E474E"/>
        </w:rPr>
        <w:t>Reasons for Nomination</w:t>
      </w:r>
    </w:p>
    <w:p>
      <w:pPr>
        <w:spacing w:after="0" w:line="2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3E474E"/>
        </w:rPr>
        <w:t>James Carroll brings to the Board deep experience in property management, market expansion, and financial strategy, shaped by his leadership in the hospitality sector. He provides valuable insight into asset-level performance, operational efficiency, and tenant-focused execution. Mr. Carroll contributes a disciplined approach to capital deployment and strategic growth actions, supporting the Board’s oversight of portfolio performance and long-term value creation.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3E474E"/>
        </w:rPr>
        <w:t>Key Skills and Expertise</w:t>
      </w:r>
    </w:p>
    <w:p>
      <w:pPr>
        <w:spacing w:after="0" w:line="21" w:lineRule="exact"/>
        <w:rPr>
          <w:sz w:val="20"/>
          <w:szCs w:val="20"/>
          <w:color w:val="auto"/>
        </w:rPr>
      </w:pPr>
    </w:p>
    <w:p>
      <w:pPr>
        <w:ind w:right="600" w:firstLine="4"/>
        <w:spacing w:after="0" w:line="264" w:lineRule="auto"/>
        <w:tabs>
          <w:tab w:leader="none" w:pos="102" w:val="left"/>
        </w:tabs>
        <w:numPr>
          <w:ilvl w:val="0"/>
          <w:numId w:val="39"/>
        </w:numPr>
        <w:rPr>
          <w:rFonts w:ascii="Arial" w:cs="Arial" w:eastAsia="Arial" w:hAnsi="Arial"/>
          <w:sz w:val="16"/>
          <w:szCs w:val="16"/>
          <w:color w:val="3E474E"/>
        </w:rPr>
      </w:pPr>
      <w:r>
        <w:rPr>
          <w:rFonts w:ascii="Arial" w:cs="Arial" w:eastAsia="Arial" w:hAnsi="Arial"/>
          <w:sz w:val="16"/>
          <w:szCs w:val="16"/>
          <w:color w:val="3E474E"/>
        </w:rPr>
        <w:t>As President and Chief Executive Officer of Crestline Hotels &amp; Resorts, Mr. Carroll oversees a portfolio of 112 properties across 26 states. He has demonstrated a strong track record of aligning operational performance with corporate strategy, driving top-line improvement, profitability, and maintaining cost discipline. He has also led the company’s expansion across the U.S., increasing its geographic presence and market reach.</w:t>
      </w:r>
    </w:p>
    <w:p>
      <w:pPr>
        <w:spacing w:after="0" w:line="200" w:lineRule="exact"/>
        <w:rPr>
          <w:rFonts w:ascii="Arial" w:cs="Arial" w:eastAsia="Arial" w:hAnsi="Arial"/>
          <w:sz w:val="16"/>
          <w:szCs w:val="16"/>
          <w:color w:val="3E474E"/>
        </w:rPr>
      </w:pPr>
    </w:p>
    <w:p>
      <w:pPr>
        <w:ind w:right="20" w:firstLine="4"/>
        <w:spacing w:after="0" w:line="261" w:lineRule="auto"/>
        <w:tabs>
          <w:tab w:leader="none" w:pos="102" w:val="left"/>
        </w:tabs>
        <w:numPr>
          <w:ilvl w:val="0"/>
          <w:numId w:val="39"/>
        </w:numPr>
        <w:rPr>
          <w:rFonts w:ascii="Arial" w:cs="Arial" w:eastAsia="Arial" w:hAnsi="Arial"/>
          <w:sz w:val="16"/>
          <w:szCs w:val="16"/>
          <w:color w:val="3E474E"/>
        </w:rPr>
      </w:pPr>
      <w:r>
        <w:rPr>
          <w:rFonts w:ascii="Arial" w:cs="Arial" w:eastAsia="Arial" w:hAnsi="Arial"/>
          <w:sz w:val="16"/>
          <w:szCs w:val="16"/>
          <w:color w:val="3E474E"/>
        </w:rPr>
        <w:t>During his tenure at Crestline, Mr. Carroll played a key role in the development and expansion of multiple domestic and international joint ventures, including the company’s international private equity real estate venture, Playa Hotels &amp; Resorts. He led efforts to raise over $850 million in equity and secure more than $800 million in corporate and property-level debt financing to support international expansion. His experience in strategic acquisitions and capital markets provides the Board with valuable perspective in evaluating investment opportunities, executing transactions, and advancing long-term strategic priorities.</w:t>
      </w:r>
    </w:p>
    <w:p>
      <w:pPr>
        <w:spacing w:after="0" w:line="203" w:lineRule="exact"/>
        <w:rPr>
          <w:rFonts w:ascii="Arial" w:cs="Arial" w:eastAsia="Arial" w:hAnsi="Arial"/>
          <w:sz w:val="16"/>
          <w:szCs w:val="16"/>
          <w:color w:val="3E474E"/>
        </w:rPr>
      </w:pPr>
    </w:p>
    <w:p>
      <w:pPr>
        <w:ind w:right="440" w:firstLine="4"/>
        <w:spacing w:after="0" w:line="265" w:lineRule="auto"/>
        <w:tabs>
          <w:tab w:leader="none" w:pos="102" w:val="left"/>
        </w:tabs>
        <w:numPr>
          <w:ilvl w:val="0"/>
          <w:numId w:val="39"/>
        </w:numPr>
        <w:rPr>
          <w:rFonts w:ascii="Arial" w:cs="Arial" w:eastAsia="Arial" w:hAnsi="Arial"/>
          <w:sz w:val="16"/>
          <w:szCs w:val="16"/>
          <w:color w:val="3E474E"/>
        </w:rPr>
      </w:pPr>
      <w:r>
        <w:rPr>
          <w:rFonts w:ascii="Arial" w:cs="Arial" w:eastAsia="Arial" w:hAnsi="Arial"/>
          <w:sz w:val="16"/>
          <w:szCs w:val="16"/>
          <w:color w:val="3E474E"/>
        </w:rPr>
        <w:t>Mr. Carroll brings significant financial experience, having served in multiple financial management roles, including Chief Financial Officer of a hospitality property and management company. His background enhances the Board’s oversight of financial reporting, assessment of property-level performance, as well as internal controls, and risk management. Mr. Carroll qualifies as an SEC Audit Committee Financial Expert.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3E474E"/>
        </w:rPr>
        <w:t>Career Highlights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E474E"/>
        </w:rPr>
        <w:t>Barceló Group – a multinational hospitality and tourism company</w:t>
      </w:r>
    </w:p>
    <w:p>
      <w:pPr>
        <w:spacing w:after="0" w:line="15" w:lineRule="exact"/>
        <w:rPr>
          <w:sz w:val="20"/>
          <w:szCs w:val="20"/>
          <w:color w:val="auto"/>
        </w:rPr>
      </w:pPr>
    </w:p>
    <w:p>
      <w:pPr>
        <w:ind w:left="100" w:hanging="96"/>
        <w:spacing w:after="0"/>
        <w:tabs>
          <w:tab w:leader="none" w:pos="100" w:val="left"/>
        </w:tabs>
        <w:numPr>
          <w:ilvl w:val="0"/>
          <w:numId w:val="40"/>
        </w:numPr>
        <w:rPr>
          <w:rFonts w:ascii="Arial" w:cs="Arial" w:eastAsia="Arial" w:hAnsi="Arial"/>
          <w:sz w:val="16"/>
          <w:szCs w:val="16"/>
          <w:color w:val="3E474E"/>
        </w:rPr>
      </w:pPr>
      <w:r>
        <w:rPr>
          <w:rFonts w:ascii="Arial" w:cs="Arial" w:eastAsia="Arial" w:hAnsi="Arial"/>
          <w:sz w:val="16"/>
          <w:szCs w:val="16"/>
          <w:color w:val="3E474E"/>
        </w:rPr>
        <w:t>President and Chief Executive Officer, Crestline Hotels &amp; Resorts, LLC. (since 2010)</w:t>
      </w:r>
    </w:p>
    <w:p>
      <w:pPr>
        <w:spacing w:after="0" w:line="8" w:lineRule="exact"/>
        <w:rPr>
          <w:rFonts w:ascii="Arial" w:cs="Arial" w:eastAsia="Arial" w:hAnsi="Arial"/>
          <w:sz w:val="16"/>
          <w:szCs w:val="16"/>
          <w:color w:val="3E474E"/>
        </w:rPr>
      </w:pPr>
    </w:p>
    <w:p>
      <w:pPr>
        <w:ind w:left="100" w:hanging="96"/>
        <w:spacing w:after="0"/>
        <w:tabs>
          <w:tab w:leader="none" w:pos="100" w:val="left"/>
        </w:tabs>
        <w:numPr>
          <w:ilvl w:val="0"/>
          <w:numId w:val="40"/>
        </w:numPr>
        <w:rPr>
          <w:rFonts w:ascii="Arial" w:cs="Arial" w:eastAsia="Arial" w:hAnsi="Arial"/>
          <w:sz w:val="16"/>
          <w:szCs w:val="16"/>
          <w:color w:val="3E474E"/>
        </w:rPr>
      </w:pPr>
      <w:r>
        <w:rPr>
          <w:rFonts w:ascii="Arial" w:cs="Arial" w:eastAsia="Arial" w:hAnsi="Arial"/>
          <w:sz w:val="16"/>
          <w:szCs w:val="16"/>
          <w:color w:val="3E474E"/>
        </w:rPr>
        <w:t>Chief Financial Officer, Crestline Hotels &amp; Resorts, LLC. (2006-2009)</w:t>
      </w:r>
    </w:p>
    <w:p>
      <w:pPr>
        <w:spacing w:after="0" w:line="5" w:lineRule="exact"/>
        <w:rPr>
          <w:rFonts w:ascii="Arial" w:cs="Arial" w:eastAsia="Arial" w:hAnsi="Arial"/>
          <w:sz w:val="16"/>
          <w:szCs w:val="16"/>
          <w:color w:val="3E474E"/>
        </w:rPr>
      </w:pPr>
    </w:p>
    <w:p>
      <w:pPr>
        <w:ind w:left="100" w:hanging="96"/>
        <w:spacing w:after="0"/>
        <w:tabs>
          <w:tab w:leader="none" w:pos="100" w:val="left"/>
        </w:tabs>
        <w:numPr>
          <w:ilvl w:val="0"/>
          <w:numId w:val="40"/>
        </w:numPr>
        <w:rPr>
          <w:rFonts w:ascii="Arial" w:cs="Arial" w:eastAsia="Arial" w:hAnsi="Arial"/>
          <w:sz w:val="16"/>
          <w:szCs w:val="16"/>
          <w:color w:val="3E474E"/>
        </w:rPr>
      </w:pPr>
      <w:r>
        <w:rPr>
          <w:rFonts w:ascii="Arial" w:cs="Arial" w:eastAsia="Arial" w:hAnsi="Arial"/>
          <w:sz w:val="16"/>
          <w:szCs w:val="16"/>
          <w:color w:val="3E474E"/>
        </w:rPr>
        <w:t>Senior Vice President and Treasurer, Barceló Crestline Corporation (2004-2006)</w:t>
      </w:r>
    </w:p>
    <w:p>
      <w:pPr>
        <w:spacing w:after="0" w:line="246" w:lineRule="exact"/>
        <w:rPr>
          <w:sz w:val="20"/>
          <w:szCs w:val="20"/>
          <w:color w:val="auto"/>
        </w:rPr>
      </w:pPr>
    </w:p>
    <w:p>
      <w:pPr>
        <w:ind w:right="3640"/>
        <w:spacing w:after="0" w:line="286" w:lineRule="auto"/>
        <w:rPr>
          <w:sz w:val="20"/>
          <w:szCs w:val="20"/>
          <w:color w:val="auto"/>
        </w:rPr>
      </w:pPr>
      <w:r>
        <w:rPr>
          <w:rFonts w:ascii="Arial" w:cs="Arial" w:eastAsia="Arial" w:hAnsi="Arial"/>
          <w:sz w:val="16"/>
          <w:szCs w:val="16"/>
          <w:color w:val="3E474E"/>
        </w:rPr>
        <w:t>Dell Technologies, Inc. (NYSE: DELL) – a global technology company • Operations and financial management positions (2001-2004)</w:t>
      </w:r>
    </w:p>
    <w:p>
      <w:pPr>
        <w:spacing w:after="0" w:line="196" w:lineRule="exact"/>
        <w:rPr>
          <w:sz w:val="20"/>
          <w:szCs w:val="20"/>
          <w:color w:val="auto"/>
        </w:rPr>
      </w:pPr>
    </w:p>
    <w:p>
      <w:pPr>
        <w:ind w:right="3760"/>
        <w:spacing w:after="0" w:line="286" w:lineRule="auto"/>
        <w:rPr>
          <w:sz w:val="20"/>
          <w:szCs w:val="20"/>
          <w:color w:val="auto"/>
        </w:rPr>
      </w:pPr>
      <w:r>
        <w:rPr>
          <w:rFonts w:ascii="Arial" w:cs="Arial" w:eastAsia="Arial" w:hAnsi="Arial"/>
          <w:sz w:val="16"/>
          <w:szCs w:val="16"/>
          <w:color w:val="3E474E"/>
        </w:rPr>
        <w:t>United States Navy – the maritime branch of the U.S. Armed Forces • Naval Aviator and Lieutenant, United States Navy (1990-2000)</w:t>
      </w:r>
    </w:p>
    <w:p>
      <w:pPr>
        <w:spacing w:after="0" w:line="200" w:lineRule="exact"/>
        <w:rPr>
          <w:sz w:val="20"/>
          <w:szCs w:val="20"/>
          <w:color w:val="auto"/>
        </w:rPr>
      </w:pPr>
    </w:p>
    <w:p>
      <w:pPr>
        <w:sectPr>
          <w:pgSz w:w="11900" w:h="16838" w:orient="portrait"/>
          <w:cols w:equalWidth="0" w:num="2">
            <w:col w:w="2160" w:space="440"/>
            <w:col w:w="864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13</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747C83"/>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7132320" cy="56921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0"/>
        <w:spacing w:after="0"/>
        <w:tabs>
          <w:tab w:leader="none" w:pos="2780" w:val="left"/>
        </w:tabs>
        <w:rPr>
          <w:sz w:val="20"/>
          <w:szCs w:val="20"/>
          <w:color w:val="auto"/>
        </w:rPr>
      </w:pPr>
      <w:r>
        <w:rPr>
          <w:rFonts w:ascii="Arial" w:cs="Arial" w:eastAsia="Arial" w:hAnsi="Arial"/>
          <w:sz w:val="22"/>
          <w:szCs w:val="22"/>
          <w:b w:val="1"/>
          <w:bCs w:val="1"/>
          <w:color w:val="1478A3"/>
        </w:rPr>
        <w:t>James C. Cherry</w:t>
      </w:r>
      <w:r>
        <w:rPr>
          <w:sz w:val="20"/>
          <w:szCs w:val="20"/>
          <w:color w:val="auto"/>
        </w:rPr>
        <w:tab/>
      </w:r>
      <w:r>
        <w:rPr>
          <w:rFonts w:ascii="Arial" w:cs="Arial" w:eastAsia="Arial" w:hAnsi="Arial"/>
          <w:sz w:val="21"/>
          <w:szCs w:val="21"/>
          <w:b w:val="1"/>
          <w:bCs w:val="1"/>
          <w:color w:val="1478A3"/>
        </w:rPr>
        <w:t>Independent Director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Director Since: 2013</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Committees:</w:t>
      </w:r>
    </w:p>
    <w:p>
      <w:pPr>
        <w:spacing w:after="0" w:line="31" w:lineRule="exact"/>
        <w:rPr>
          <w:sz w:val="20"/>
          <w:szCs w:val="20"/>
          <w:color w:val="auto"/>
        </w:rPr>
      </w:pPr>
    </w:p>
    <w:p>
      <w:pPr>
        <w:ind w:left="120" w:hanging="94"/>
        <w:spacing w:after="0"/>
        <w:tabs>
          <w:tab w:leader="none" w:pos="120" w:val="left"/>
        </w:tabs>
        <w:numPr>
          <w:ilvl w:val="0"/>
          <w:numId w:val="41"/>
        </w:numPr>
        <w:rPr>
          <w:rFonts w:ascii="Arial" w:cs="Arial" w:eastAsia="Arial" w:hAnsi="Arial"/>
          <w:sz w:val="16"/>
          <w:szCs w:val="16"/>
          <w:color w:val="3E474E"/>
        </w:rPr>
      </w:pPr>
      <w:r>
        <w:rPr>
          <w:rFonts w:ascii="Arial" w:cs="Arial" w:eastAsia="Arial" w:hAnsi="Arial"/>
          <w:sz w:val="16"/>
          <w:szCs w:val="16"/>
          <w:color w:val="3E474E"/>
        </w:rPr>
        <w:t>Compensation (Chair)</w:t>
      </w:r>
    </w:p>
    <w:p>
      <w:pPr>
        <w:spacing w:after="0" w:line="8" w:lineRule="exact"/>
        <w:rPr>
          <w:rFonts w:ascii="Arial" w:cs="Arial" w:eastAsia="Arial" w:hAnsi="Arial"/>
          <w:sz w:val="16"/>
          <w:szCs w:val="16"/>
          <w:color w:val="3E474E"/>
        </w:rPr>
      </w:pPr>
    </w:p>
    <w:p>
      <w:pPr>
        <w:ind w:left="120" w:hanging="94"/>
        <w:spacing w:after="0"/>
        <w:tabs>
          <w:tab w:leader="none" w:pos="120" w:val="left"/>
        </w:tabs>
        <w:numPr>
          <w:ilvl w:val="0"/>
          <w:numId w:val="41"/>
        </w:numPr>
        <w:rPr>
          <w:rFonts w:ascii="Arial" w:cs="Arial" w:eastAsia="Arial" w:hAnsi="Arial"/>
          <w:sz w:val="16"/>
          <w:szCs w:val="16"/>
          <w:color w:val="3E474E"/>
        </w:rPr>
      </w:pPr>
      <w:r>
        <w:rPr>
          <w:rFonts w:ascii="Arial" w:cs="Arial" w:eastAsia="Arial" w:hAnsi="Arial"/>
          <w:sz w:val="16"/>
          <w:szCs w:val="16"/>
          <w:color w:val="3E474E"/>
        </w:rPr>
        <w:t>Audit</w:t>
      </w:r>
    </w:p>
    <w:p>
      <w:pPr>
        <w:spacing w:after="0" w:line="14" w:lineRule="exact"/>
        <w:rPr>
          <w:rFonts w:ascii="Arial" w:cs="Arial" w:eastAsia="Arial" w:hAnsi="Arial"/>
          <w:sz w:val="16"/>
          <w:szCs w:val="16"/>
          <w:color w:val="3E474E"/>
        </w:rPr>
      </w:pPr>
    </w:p>
    <w:p>
      <w:pPr>
        <w:ind w:left="20" w:right="440" w:firstLine="6"/>
        <w:spacing w:after="0" w:line="270" w:lineRule="auto"/>
        <w:tabs>
          <w:tab w:leader="none" w:pos="122" w:val="left"/>
        </w:tabs>
        <w:numPr>
          <w:ilvl w:val="0"/>
          <w:numId w:val="41"/>
        </w:numPr>
        <w:rPr>
          <w:rFonts w:ascii="Arial" w:cs="Arial" w:eastAsia="Arial" w:hAnsi="Arial"/>
          <w:sz w:val="16"/>
          <w:szCs w:val="16"/>
          <w:color w:val="3E474E"/>
        </w:rPr>
      </w:pPr>
      <w:r>
        <w:rPr>
          <w:rFonts w:ascii="Arial" w:cs="Arial" w:eastAsia="Arial" w:hAnsi="Arial"/>
          <w:sz w:val="16"/>
          <w:szCs w:val="16"/>
          <w:color w:val="3E474E"/>
        </w:rPr>
        <w:t>Nominating and Corporate Governance</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Age: 75</w:t>
      </w:r>
    </w:p>
    <w:p>
      <w:pPr>
        <w:spacing w:after="0" w:line="262" w:lineRule="exact"/>
        <w:rPr>
          <w:sz w:val="20"/>
          <w:szCs w:val="20"/>
          <w:color w:val="auto"/>
        </w:rPr>
      </w:pPr>
    </w:p>
    <w:p>
      <w:pPr>
        <w:ind w:left="20" w:right="300"/>
        <w:spacing w:after="0" w:line="263" w:lineRule="auto"/>
        <w:rPr>
          <w:sz w:val="20"/>
          <w:szCs w:val="20"/>
          <w:color w:val="auto"/>
        </w:rPr>
      </w:pPr>
      <w:r>
        <w:rPr>
          <w:rFonts w:ascii="Arial" w:cs="Arial" w:eastAsia="Arial" w:hAnsi="Arial"/>
          <w:sz w:val="16"/>
          <w:szCs w:val="16"/>
          <w:color w:val="3E474E"/>
        </w:rPr>
        <w:t>Other Company Directorships (past 5 years):</w:t>
      </w:r>
    </w:p>
    <w:p>
      <w:pPr>
        <w:ind w:left="20" w:right="600" w:firstLine="6"/>
        <w:spacing w:after="0" w:line="249" w:lineRule="auto"/>
        <w:tabs>
          <w:tab w:leader="none" w:pos="122" w:val="left"/>
        </w:tabs>
        <w:numPr>
          <w:ilvl w:val="0"/>
          <w:numId w:val="42"/>
        </w:numPr>
        <w:rPr>
          <w:rFonts w:ascii="Arial" w:cs="Arial" w:eastAsia="Arial" w:hAnsi="Arial"/>
          <w:sz w:val="16"/>
          <w:szCs w:val="16"/>
          <w:color w:val="3E474E"/>
        </w:rPr>
      </w:pPr>
      <w:r>
        <w:rPr>
          <w:rFonts w:ascii="Arial" w:cs="Arial" w:eastAsia="Arial" w:hAnsi="Arial"/>
          <w:sz w:val="16"/>
          <w:szCs w:val="16"/>
          <w:color w:val="3E474E"/>
        </w:rPr>
        <w:t>Beach Community Bank (formerly OTC: BCBF)</w:t>
      </w:r>
    </w:p>
    <w:p>
      <w:pPr>
        <w:ind w:left="20"/>
        <w:spacing w:after="0"/>
        <w:rPr>
          <w:rFonts w:ascii="Arial" w:cs="Arial" w:eastAsia="Arial" w:hAnsi="Arial"/>
          <w:sz w:val="16"/>
          <w:szCs w:val="16"/>
          <w:color w:val="3E474E"/>
        </w:rPr>
      </w:pPr>
      <w:r>
        <w:rPr>
          <w:rFonts w:ascii="Arial" w:cs="Arial" w:eastAsia="Arial" w:hAnsi="Arial"/>
          <w:sz w:val="16"/>
          <w:szCs w:val="16"/>
          <w:color w:val="3E474E"/>
        </w:rPr>
        <w:t>(2018-2022)</w:t>
      </w:r>
    </w:p>
    <w:p>
      <w:pPr>
        <w:spacing w:after="0" w:line="14" w:lineRule="exact"/>
        <w:rPr>
          <w:rFonts w:ascii="Arial" w:cs="Arial" w:eastAsia="Arial" w:hAnsi="Arial"/>
          <w:sz w:val="16"/>
          <w:szCs w:val="16"/>
          <w:color w:val="3E474E"/>
        </w:rPr>
      </w:pPr>
    </w:p>
    <w:p>
      <w:pPr>
        <w:ind w:left="20" w:firstLine="6"/>
        <w:spacing w:after="0" w:line="270" w:lineRule="auto"/>
        <w:tabs>
          <w:tab w:leader="none" w:pos="122" w:val="left"/>
        </w:tabs>
        <w:numPr>
          <w:ilvl w:val="0"/>
          <w:numId w:val="42"/>
        </w:numPr>
        <w:rPr>
          <w:rFonts w:ascii="Arial" w:cs="Arial" w:eastAsia="Arial" w:hAnsi="Arial"/>
          <w:sz w:val="16"/>
          <w:szCs w:val="16"/>
          <w:color w:val="3E474E"/>
        </w:rPr>
      </w:pPr>
      <w:r>
        <w:rPr>
          <w:rFonts w:ascii="Arial" w:cs="Arial" w:eastAsia="Arial" w:hAnsi="Arial"/>
          <w:sz w:val="16"/>
          <w:szCs w:val="16"/>
          <w:color w:val="3E474E"/>
        </w:rPr>
        <w:t>South State Corporation (NYSE: SSB) (2017-2020)</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Education:</w:t>
      </w:r>
    </w:p>
    <w:p>
      <w:pPr>
        <w:spacing w:after="0" w:line="31" w:lineRule="exact"/>
        <w:rPr>
          <w:sz w:val="20"/>
          <w:szCs w:val="20"/>
          <w:color w:val="auto"/>
        </w:rPr>
      </w:pPr>
    </w:p>
    <w:p>
      <w:pPr>
        <w:ind w:left="120" w:hanging="94"/>
        <w:spacing w:after="0"/>
        <w:tabs>
          <w:tab w:leader="none" w:pos="120" w:val="left"/>
        </w:tabs>
        <w:numPr>
          <w:ilvl w:val="0"/>
          <w:numId w:val="43"/>
        </w:numPr>
        <w:rPr>
          <w:rFonts w:ascii="Arial" w:cs="Arial" w:eastAsia="Arial" w:hAnsi="Arial"/>
          <w:sz w:val="16"/>
          <w:szCs w:val="16"/>
          <w:color w:val="3E474E"/>
        </w:rPr>
      </w:pPr>
      <w:r>
        <w:rPr>
          <w:rFonts w:ascii="Arial" w:cs="Arial" w:eastAsia="Arial" w:hAnsi="Arial"/>
          <w:sz w:val="16"/>
          <w:szCs w:val="16"/>
          <w:color w:val="3E474E"/>
        </w:rPr>
        <w:t>B.A., Hampden-Sydney College</w:t>
      </w:r>
    </w:p>
    <w:p>
      <w:pPr>
        <w:spacing w:after="0" w:line="8" w:lineRule="exact"/>
        <w:rPr>
          <w:rFonts w:ascii="Arial" w:cs="Arial" w:eastAsia="Arial" w:hAnsi="Arial"/>
          <w:sz w:val="16"/>
          <w:szCs w:val="16"/>
          <w:color w:val="3E474E"/>
        </w:rPr>
      </w:pPr>
    </w:p>
    <w:p>
      <w:pPr>
        <w:ind w:left="120" w:hanging="94"/>
        <w:spacing w:after="0"/>
        <w:tabs>
          <w:tab w:leader="none" w:pos="120" w:val="left"/>
        </w:tabs>
        <w:numPr>
          <w:ilvl w:val="0"/>
          <w:numId w:val="43"/>
        </w:numPr>
        <w:rPr>
          <w:rFonts w:ascii="Arial" w:cs="Arial" w:eastAsia="Arial" w:hAnsi="Arial"/>
          <w:sz w:val="16"/>
          <w:szCs w:val="16"/>
          <w:color w:val="3E474E"/>
        </w:rPr>
      </w:pPr>
      <w:r>
        <w:rPr>
          <w:rFonts w:ascii="Arial" w:cs="Arial" w:eastAsia="Arial" w:hAnsi="Arial"/>
          <w:sz w:val="16"/>
          <w:szCs w:val="16"/>
          <w:color w:val="3E474E"/>
        </w:rPr>
        <w:t>Executive Business Program,</w:t>
      </w:r>
    </w:p>
    <w:p>
      <w:pPr>
        <w:spacing w:after="0" w:line="15" w:lineRule="exact"/>
        <w:rPr>
          <w:sz w:val="20"/>
          <w:szCs w:val="20"/>
          <w:color w:val="auto"/>
        </w:rPr>
      </w:pPr>
    </w:p>
    <w:p>
      <w:pPr>
        <w:ind w:left="20" w:right="440"/>
        <w:spacing w:after="0" w:line="270" w:lineRule="auto"/>
        <w:rPr>
          <w:sz w:val="20"/>
          <w:szCs w:val="20"/>
          <w:color w:val="auto"/>
        </w:rPr>
      </w:pPr>
      <w:r>
        <w:rPr>
          <w:rFonts w:ascii="Arial" w:cs="Arial" w:eastAsia="Arial" w:hAnsi="Arial"/>
          <w:sz w:val="16"/>
          <w:szCs w:val="16"/>
          <w:color w:val="3E474E"/>
        </w:rPr>
        <w:t>Darden School of Business, University of Virginia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
        <w:spacing w:after="0"/>
        <w:rPr>
          <w:sz w:val="20"/>
          <w:szCs w:val="20"/>
          <w:color w:val="auto"/>
        </w:rPr>
      </w:pPr>
      <w:r>
        <w:rPr>
          <w:rFonts w:ascii="Arial" w:cs="Arial" w:eastAsia="Arial" w:hAnsi="Arial"/>
          <w:sz w:val="16"/>
          <w:szCs w:val="16"/>
          <w:color w:val="494949"/>
        </w:rPr>
        <w:t>Reasons for Nomination</w:t>
      </w:r>
    </w:p>
    <w:p>
      <w:pPr>
        <w:spacing w:after="0" w:line="21" w:lineRule="exact"/>
        <w:rPr>
          <w:sz w:val="20"/>
          <w:szCs w:val="20"/>
          <w:color w:val="auto"/>
        </w:rPr>
      </w:pPr>
    </w:p>
    <w:p>
      <w:pPr>
        <w:ind w:left="7" w:right="80"/>
        <w:spacing w:after="0" w:line="260" w:lineRule="auto"/>
        <w:rPr>
          <w:sz w:val="20"/>
          <w:szCs w:val="20"/>
          <w:color w:val="auto"/>
        </w:rPr>
      </w:pPr>
      <w:r>
        <w:rPr>
          <w:rFonts w:ascii="Arial" w:cs="Arial" w:eastAsia="Arial" w:hAnsi="Arial"/>
          <w:sz w:val="16"/>
          <w:szCs w:val="16"/>
          <w:color w:val="494949"/>
        </w:rPr>
        <w:t>James Cherry brings to the Board extensive leadership experience across the banking and investment management industries. As former Chief Executive Officer of a regional bank, he has spearheaded several market expansion initiatives, providing him with a unique perspective on the Company’s transformational growth strategy for long-term value creation. His deep financial expertise, combined with his service on several financial institution boards, enables him to contribute robust knowledge of disciplined capital deployment and risk management.</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16"/>
          <w:szCs w:val="16"/>
          <w:color w:val="494949"/>
        </w:rPr>
        <w:t>Key Skills and Expertise</w:t>
      </w:r>
    </w:p>
    <w:p>
      <w:pPr>
        <w:spacing w:after="0" w:line="31" w:lineRule="exact"/>
        <w:rPr>
          <w:sz w:val="20"/>
          <w:szCs w:val="20"/>
          <w:color w:val="auto"/>
        </w:rPr>
      </w:pPr>
    </w:p>
    <w:p>
      <w:pPr>
        <w:ind w:left="7" w:right="180" w:hanging="7"/>
        <w:spacing w:after="0" w:line="256" w:lineRule="auto"/>
        <w:tabs>
          <w:tab w:leader="none" w:pos="108" w:val="left"/>
        </w:tabs>
        <w:numPr>
          <w:ilvl w:val="0"/>
          <w:numId w:val="44"/>
        </w:numPr>
        <w:rPr>
          <w:rFonts w:ascii="Arial" w:cs="Arial" w:eastAsia="Arial" w:hAnsi="Arial"/>
          <w:sz w:val="16"/>
          <w:szCs w:val="16"/>
          <w:color w:val="494949"/>
        </w:rPr>
      </w:pPr>
      <w:r>
        <w:rPr>
          <w:rFonts w:ascii="Arial" w:cs="Arial" w:eastAsia="Arial" w:hAnsi="Arial"/>
          <w:sz w:val="16"/>
          <w:szCs w:val="16"/>
          <w:color w:val="494949"/>
        </w:rPr>
        <w:t>Mr. Cherry served as the Chief Executive Officer and board member of the Park Sterling Corporation, leading its successful $150 million IPO and subsequent transformation from a small local bank with $400 million in assets, 50 employees, and three offices into a full-banking service regional institution with more than $3.5 billion in assets, 500 employees, and 50 offices across four states. During his tenure, he executed a series of purpose-driven regional acquisitions that expanded the company’s capabilities and strengthened its competitive positioning.</w:t>
      </w:r>
    </w:p>
    <w:p>
      <w:pPr>
        <w:spacing w:after="0" w:line="221" w:lineRule="exact"/>
        <w:rPr>
          <w:rFonts w:ascii="Arial" w:cs="Arial" w:eastAsia="Arial" w:hAnsi="Arial"/>
          <w:sz w:val="16"/>
          <w:szCs w:val="16"/>
          <w:color w:val="494949"/>
        </w:rPr>
      </w:pPr>
    </w:p>
    <w:p>
      <w:pPr>
        <w:ind w:left="7" w:right="180" w:hanging="7"/>
        <w:spacing w:after="0" w:line="265" w:lineRule="auto"/>
        <w:tabs>
          <w:tab w:leader="none" w:pos="108" w:val="left"/>
        </w:tabs>
        <w:numPr>
          <w:ilvl w:val="0"/>
          <w:numId w:val="44"/>
        </w:numPr>
        <w:rPr>
          <w:rFonts w:ascii="Arial" w:cs="Arial" w:eastAsia="Arial" w:hAnsi="Arial"/>
          <w:sz w:val="16"/>
          <w:szCs w:val="16"/>
          <w:color w:val="494949"/>
        </w:rPr>
      </w:pPr>
      <w:r>
        <w:rPr>
          <w:rFonts w:ascii="Arial" w:cs="Arial" w:eastAsia="Arial" w:hAnsi="Arial"/>
          <w:sz w:val="16"/>
          <w:szCs w:val="16"/>
          <w:color w:val="494949"/>
        </w:rPr>
        <w:t>Mr. Cherry brings to the Board experience in technology and digital strategy, having overseen the launch of Park Sterling’s mobile banking platform, advancing the company’s technological capabilities to enhance efficiency and modernize operational infrastructure. His perspective supports the Board’s oversight of data-driven decision-making and technology-enabled performance across AH Realty Trust’s portfolio.</w:t>
      </w:r>
    </w:p>
    <w:p>
      <w:pPr>
        <w:spacing w:after="0" w:line="199" w:lineRule="exact"/>
        <w:rPr>
          <w:rFonts w:ascii="Arial" w:cs="Arial" w:eastAsia="Arial" w:hAnsi="Arial"/>
          <w:sz w:val="16"/>
          <w:szCs w:val="16"/>
          <w:color w:val="494949"/>
        </w:rPr>
      </w:pPr>
    </w:p>
    <w:p>
      <w:pPr>
        <w:ind w:left="7" w:right="20" w:hanging="7"/>
        <w:spacing w:after="0" w:line="265" w:lineRule="auto"/>
        <w:tabs>
          <w:tab w:leader="none" w:pos="108" w:val="left"/>
        </w:tabs>
        <w:numPr>
          <w:ilvl w:val="0"/>
          <w:numId w:val="44"/>
        </w:numPr>
        <w:rPr>
          <w:rFonts w:ascii="Arial" w:cs="Arial" w:eastAsia="Arial" w:hAnsi="Arial"/>
          <w:sz w:val="16"/>
          <w:szCs w:val="16"/>
          <w:color w:val="494949"/>
        </w:rPr>
      </w:pPr>
      <w:r>
        <w:rPr>
          <w:rFonts w:ascii="Arial" w:cs="Arial" w:eastAsia="Arial" w:hAnsi="Arial"/>
          <w:sz w:val="16"/>
          <w:szCs w:val="16"/>
          <w:color w:val="494949"/>
        </w:rPr>
        <w:t>Having spent more than three decades at Wachovia Corporation in financial and banking roles, including as Chairman and Chief Executive Officer of Mid-Atlantic Banking, Mr. Cherry provides a vast understanding of evaluating credit, including commercial real estate financing, managing balance sheets, and allocating capital across economic cycles to support the Board’s oversight of the Company’s growth strategy. Mr. Cherry qualifies as an SEC Audit Committee Financial Expert.</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6"/>
          <w:szCs w:val="16"/>
          <w:color w:val="494949"/>
        </w:rPr>
        <w:t>Career Highlights</w:t>
      </w:r>
    </w:p>
    <w:p>
      <w:pPr>
        <w:spacing w:after="0" w:line="31" w:lineRule="exact"/>
        <w:rPr>
          <w:sz w:val="20"/>
          <w:szCs w:val="20"/>
          <w:color w:val="auto"/>
        </w:rPr>
      </w:pPr>
    </w:p>
    <w:p>
      <w:pPr>
        <w:ind w:left="7"/>
        <w:spacing w:after="0"/>
        <w:rPr>
          <w:sz w:val="20"/>
          <w:szCs w:val="20"/>
          <w:color w:val="auto"/>
        </w:rPr>
      </w:pPr>
      <w:r>
        <w:rPr>
          <w:rFonts w:ascii="Arial" w:cs="Arial" w:eastAsia="Arial" w:hAnsi="Arial"/>
          <w:sz w:val="16"/>
          <w:szCs w:val="16"/>
          <w:color w:val="494949"/>
        </w:rPr>
        <w:t>Park Sterling Corporation (Nasdaq: PSTB) – a financial services company</w:t>
      </w:r>
    </w:p>
    <w:p>
      <w:pPr>
        <w:spacing w:after="0" w:line="9" w:lineRule="exact"/>
        <w:rPr>
          <w:sz w:val="20"/>
          <w:szCs w:val="20"/>
          <w:color w:val="auto"/>
        </w:rPr>
      </w:pPr>
    </w:p>
    <w:p>
      <w:pPr>
        <w:ind w:left="7"/>
        <w:spacing w:after="0"/>
        <w:rPr>
          <w:sz w:val="20"/>
          <w:szCs w:val="20"/>
          <w:color w:val="auto"/>
        </w:rPr>
      </w:pPr>
      <w:r>
        <w:rPr>
          <w:rFonts w:ascii="Arial" w:cs="Arial" w:eastAsia="Arial" w:hAnsi="Arial"/>
          <w:sz w:val="16"/>
          <w:szCs w:val="16"/>
          <w:color w:val="494949"/>
        </w:rPr>
        <w:t>• Chief Executive Officer (2010-2017)</w:t>
      </w:r>
    </w:p>
    <w:p>
      <w:pPr>
        <w:spacing w:after="0" w:line="232" w:lineRule="exact"/>
        <w:rPr>
          <w:sz w:val="20"/>
          <w:szCs w:val="20"/>
          <w:color w:val="auto"/>
        </w:rPr>
      </w:pPr>
    </w:p>
    <w:p>
      <w:pPr>
        <w:ind w:left="7" w:right="180"/>
        <w:spacing w:after="0" w:line="265" w:lineRule="auto"/>
        <w:rPr>
          <w:sz w:val="20"/>
          <w:szCs w:val="20"/>
          <w:color w:val="auto"/>
        </w:rPr>
      </w:pPr>
      <w:r>
        <w:rPr>
          <w:rFonts w:ascii="Arial" w:cs="Arial" w:eastAsia="Arial" w:hAnsi="Arial"/>
          <w:sz w:val="16"/>
          <w:szCs w:val="16"/>
          <w:color w:val="494949"/>
        </w:rPr>
        <w:t>Wachovia Corporation and Wachovia Bank (former NYSE: WB) – a diversified financial services company, acquired by Wells Fargo</w:t>
      </w:r>
    </w:p>
    <w:p>
      <w:pPr>
        <w:spacing w:after="0" w:line="1" w:lineRule="exact"/>
        <w:rPr>
          <w:sz w:val="20"/>
          <w:szCs w:val="20"/>
          <w:color w:val="auto"/>
        </w:rPr>
      </w:pPr>
    </w:p>
    <w:p>
      <w:pPr>
        <w:ind w:left="107" w:hanging="107"/>
        <w:spacing w:after="0"/>
        <w:tabs>
          <w:tab w:leader="none" w:pos="107" w:val="left"/>
        </w:tabs>
        <w:numPr>
          <w:ilvl w:val="0"/>
          <w:numId w:val="45"/>
        </w:numPr>
        <w:rPr>
          <w:rFonts w:ascii="Arial" w:cs="Arial" w:eastAsia="Arial" w:hAnsi="Arial"/>
          <w:sz w:val="16"/>
          <w:szCs w:val="16"/>
          <w:color w:val="494949"/>
        </w:rPr>
      </w:pPr>
      <w:r>
        <w:rPr>
          <w:rFonts w:ascii="Arial" w:cs="Arial" w:eastAsia="Arial" w:hAnsi="Arial"/>
          <w:sz w:val="16"/>
          <w:szCs w:val="16"/>
          <w:color w:val="494949"/>
        </w:rPr>
        <w:t>Chairman and Chief Executive Officer, Mid-Atlantic Banking (2001-2006)</w:t>
      </w:r>
    </w:p>
    <w:p>
      <w:pPr>
        <w:spacing w:after="0" w:line="14" w:lineRule="exact"/>
        <w:rPr>
          <w:rFonts w:ascii="Arial" w:cs="Arial" w:eastAsia="Arial" w:hAnsi="Arial"/>
          <w:sz w:val="16"/>
          <w:szCs w:val="16"/>
          <w:color w:val="494949"/>
        </w:rPr>
      </w:pPr>
    </w:p>
    <w:p>
      <w:pPr>
        <w:ind w:left="107" w:hanging="107"/>
        <w:spacing w:after="0"/>
        <w:tabs>
          <w:tab w:leader="none" w:pos="107" w:val="left"/>
        </w:tabs>
        <w:numPr>
          <w:ilvl w:val="0"/>
          <w:numId w:val="45"/>
        </w:numPr>
        <w:rPr>
          <w:rFonts w:ascii="Arial" w:cs="Arial" w:eastAsia="Arial" w:hAnsi="Arial"/>
          <w:sz w:val="16"/>
          <w:szCs w:val="16"/>
          <w:color w:val="494949"/>
        </w:rPr>
      </w:pPr>
      <w:r>
        <w:rPr>
          <w:rFonts w:ascii="Arial" w:cs="Arial" w:eastAsia="Arial" w:hAnsi="Arial"/>
          <w:sz w:val="16"/>
          <w:szCs w:val="16"/>
          <w:color w:val="494949"/>
        </w:rPr>
        <w:t>President, Virginia Banking, Head of Trust and Investment Management (1997-2001)</w:t>
      </w:r>
    </w:p>
    <w:p>
      <w:pPr>
        <w:spacing w:after="0" w:line="8" w:lineRule="exact"/>
        <w:rPr>
          <w:rFonts w:ascii="Arial" w:cs="Arial" w:eastAsia="Arial" w:hAnsi="Arial"/>
          <w:sz w:val="16"/>
          <w:szCs w:val="16"/>
          <w:color w:val="494949"/>
        </w:rPr>
      </w:pPr>
    </w:p>
    <w:p>
      <w:pPr>
        <w:ind w:left="107" w:hanging="107"/>
        <w:spacing w:after="0"/>
        <w:tabs>
          <w:tab w:leader="none" w:pos="107" w:val="left"/>
        </w:tabs>
        <w:numPr>
          <w:ilvl w:val="0"/>
          <w:numId w:val="45"/>
        </w:numPr>
        <w:rPr>
          <w:rFonts w:ascii="Arial" w:cs="Arial" w:eastAsia="Arial" w:hAnsi="Arial"/>
          <w:sz w:val="16"/>
          <w:szCs w:val="16"/>
          <w:color w:val="494949"/>
        </w:rPr>
      </w:pPr>
      <w:r>
        <w:rPr>
          <w:rFonts w:ascii="Arial" w:cs="Arial" w:eastAsia="Arial" w:hAnsi="Arial"/>
          <w:sz w:val="16"/>
          <w:szCs w:val="16"/>
          <w:color w:val="494949"/>
        </w:rPr>
        <w:t>Various regional executive roles (1974-1997)</w:t>
      </w:r>
    </w:p>
    <w:p>
      <w:pPr>
        <w:spacing w:after="0" w:line="723" w:lineRule="exact"/>
        <w:rPr>
          <w:sz w:val="20"/>
          <w:szCs w:val="20"/>
          <w:color w:val="auto"/>
        </w:rPr>
      </w:pPr>
    </w:p>
    <w:p>
      <w:pPr>
        <w:sectPr>
          <w:pgSz w:w="11900" w:h="16838" w:orient="portrait"/>
          <w:cols w:equalWidth="0" w:num="2">
            <w:col w:w="2460" w:space="333"/>
            <w:col w:w="8447"/>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14</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747C83"/>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889635</wp:posOffset>
            </wp:positionV>
            <wp:extent cx="6995160" cy="4585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458597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1478A3"/>
        </w:rPr>
        <w:t>Louis S. Haddad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Director Since: 2013</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Age: 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1478A3"/>
        </w:rPr>
        <w:t>Director</w:t>
      </w:r>
    </w:p>
    <w:p>
      <w:pPr>
        <w:spacing w:after="0" w:line="328" w:lineRule="exact"/>
        <w:rPr>
          <w:sz w:val="20"/>
          <w:szCs w:val="20"/>
          <w:color w:val="auto"/>
        </w:rPr>
      </w:pPr>
    </w:p>
    <w:p>
      <w:pPr>
        <w:ind w:left="9"/>
        <w:spacing w:after="0"/>
        <w:rPr>
          <w:sz w:val="20"/>
          <w:szCs w:val="20"/>
          <w:color w:val="auto"/>
        </w:rPr>
      </w:pPr>
      <w:r>
        <w:rPr>
          <w:rFonts w:ascii="Arial" w:cs="Arial" w:eastAsia="Arial" w:hAnsi="Arial"/>
          <w:sz w:val="16"/>
          <w:szCs w:val="16"/>
          <w:color w:val="494949"/>
        </w:rPr>
        <w:t>Reasons for Nomination</w:t>
      </w:r>
    </w:p>
    <w:p>
      <w:pPr>
        <w:spacing w:after="0" w:line="21" w:lineRule="exact"/>
        <w:rPr>
          <w:sz w:val="20"/>
          <w:szCs w:val="20"/>
          <w:color w:val="auto"/>
        </w:rPr>
      </w:pPr>
    </w:p>
    <w:p>
      <w:pPr>
        <w:ind w:left="9" w:right="380"/>
        <w:spacing w:after="0" w:line="260" w:lineRule="auto"/>
        <w:rPr>
          <w:sz w:val="20"/>
          <w:szCs w:val="20"/>
          <w:color w:val="auto"/>
        </w:rPr>
      </w:pPr>
      <w:r>
        <w:rPr>
          <w:rFonts w:ascii="Arial" w:cs="Arial" w:eastAsia="Arial" w:hAnsi="Arial"/>
          <w:sz w:val="16"/>
          <w:szCs w:val="16"/>
          <w:color w:val="494949"/>
        </w:rPr>
        <w:t>Louis Haddad is a seasoned real estate executive with leadership experience across commercial real estate, development, and construction. His background spans platform growth, capital allocation, and strategic execution. Mr. Haddad brings extensive expertise in public-private partnerships, large-scale development, and capital markets, providing valuable perspective to the Board’s oversight of the Company’s long-term strategy, financial performance, and market positioning.</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16"/>
          <w:szCs w:val="16"/>
          <w:color w:val="494949"/>
        </w:rPr>
        <w:t>Key Skills and Expertise</w:t>
      </w:r>
    </w:p>
    <w:p>
      <w:pPr>
        <w:spacing w:after="0" w:line="31" w:lineRule="exact"/>
        <w:rPr>
          <w:sz w:val="20"/>
          <w:szCs w:val="20"/>
          <w:color w:val="auto"/>
        </w:rPr>
      </w:pPr>
    </w:p>
    <w:p>
      <w:pPr>
        <w:ind w:left="9" w:right="280" w:hanging="9"/>
        <w:spacing w:after="0" w:line="256" w:lineRule="auto"/>
        <w:tabs>
          <w:tab w:leader="none" w:pos="111" w:val="left"/>
        </w:tabs>
        <w:numPr>
          <w:ilvl w:val="0"/>
          <w:numId w:val="46"/>
        </w:numPr>
        <w:rPr>
          <w:rFonts w:ascii="Arial" w:cs="Arial" w:eastAsia="Arial" w:hAnsi="Arial"/>
          <w:sz w:val="16"/>
          <w:szCs w:val="16"/>
          <w:color w:val="494949"/>
        </w:rPr>
      </w:pPr>
      <w:r>
        <w:rPr>
          <w:rFonts w:ascii="Arial" w:cs="Arial" w:eastAsia="Arial" w:hAnsi="Arial"/>
          <w:sz w:val="16"/>
          <w:szCs w:val="16"/>
          <w:color w:val="494949"/>
        </w:rPr>
        <w:t>Mr. Haddad led AH Realty Trust and its predecessor entities for nearly four decades, overseeing the Company’s IPO and guiding its evolution into a leading commercial real estate platform in Virginia. During his tenure, he oversaw more than 25 public-private partnership developments to drive growth and build a diversified portfolio of retail, office, and multifamily assets, including the development of large-scale mixed-use projects, including the Town Center of Virginia Beach.</w:t>
      </w:r>
    </w:p>
    <w:p>
      <w:pPr>
        <w:spacing w:after="0" w:line="221" w:lineRule="exact"/>
        <w:rPr>
          <w:rFonts w:ascii="Arial" w:cs="Arial" w:eastAsia="Arial" w:hAnsi="Arial"/>
          <w:sz w:val="16"/>
          <w:szCs w:val="16"/>
          <w:color w:val="494949"/>
        </w:rPr>
      </w:pPr>
    </w:p>
    <w:p>
      <w:pPr>
        <w:ind w:left="9" w:right="340" w:hanging="9"/>
        <w:spacing w:after="0" w:line="266" w:lineRule="auto"/>
        <w:tabs>
          <w:tab w:leader="none" w:pos="111" w:val="left"/>
        </w:tabs>
        <w:numPr>
          <w:ilvl w:val="0"/>
          <w:numId w:val="46"/>
        </w:numPr>
        <w:rPr>
          <w:rFonts w:ascii="Arial" w:cs="Arial" w:eastAsia="Arial" w:hAnsi="Arial"/>
          <w:sz w:val="16"/>
          <w:szCs w:val="16"/>
          <w:color w:val="494949"/>
        </w:rPr>
      </w:pPr>
      <w:r>
        <w:rPr>
          <w:rFonts w:ascii="Arial" w:cs="Arial" w:eastAsia="Arial" w:hAnsi="Arial"/>
          <w:sz w:val="16"/>
          <w:szCs w:val="16"/>
          <w:color w:val="494949"/>
        </w:rPr>
        <w:t>Under Mr. Haddad’s leadership the Company grew its portfolio to span over eight states with an enterprise value of $2.6 billion and achieved an investment-grade credit rating, reflecting long-term financial discipline, and capital markets credibility.</w:t>
      </w:r>
    </w:p>
    <w:p>
      <w:pPr>
        <w:spacing w:after="0" w:line="211" w:lineRule="exact"/>
        <w:rPr>
          <w:rFonts w:ascii="Arial" w:cs="Arial" w:eastAsia="Arial" w:hAnsi="Arial"/>
          <w:sz w:val="16"/>
          <w:szCs w:val="16"/>
          <w:color w:val="494949"/>
        </w:rPr>
      </w:pPr>
    </w:p>
    <w:p>
      <w:pPr>
        <w:ind w:left="9" w:right="800" w:hanging="9"/>
        <w:spacing w:after="0" w:line="286" w:lineRule="auto"/>
        <w:tabs>
          <w:tab w:leader="none" w:pos="111" w:val="left"/>
        </w:tabs>
        <w:numPr>
          <w:ilvl w:val="0"/>
          <w:numId w:val="46"/>
        </w:numPr>
        <w:rPr>
          <w:rFonts w:ascii="Arial" w:cs="Arial" w:eastAsia="Arial" w:hAnsi="Arial"/>
          <w:sz w:val="16"/>
          <w:szCs w:val="16"/>
          <w:color w:val="494949"/>
        </w:rPr>
      </w:pPr>
      <w:r>
        <w:rPr>
          <w:rFonts w:ascii="Arial" w:cs="Arial" w:eastAsia="Arial" w:hAnsi="Arial"/>
          <w:sz w:val="16"/>
          <w:szCs w:val="16"/>
          <w:color w:val="494949"/>
        </w:rPr>
        <w:t>Mr. Haddad provides the Board with valuable perspective on asset growth, project execution, and portfolio performance, reinforcing oversight of the Company’s transformation and its focus on long-term value creation.</w:t>
      </w:r>
    </w:p>
    <w:p>
      <w:pPr>
        <w:spacing w:after="0" w:line="196" w:lineRule="exact"/>
        <w:rPr>
          <w:sz w:val="20"/>
          <w:szCs w:val="20"/>
          <w:color w:val="auto"/>
        </w:rPr>
      </w:pPr>
    </w:p>
    <w:p>
      <w:pPr>
        <w:ind w:left="9"/>
        <w:spacing w:after="0"/>
        <w:rPr>
          <w:sz w:val="20"/>
          <w:szCs w:val="20"/>
          <w:color w:val="auto"/>
        </w:rPr>
      </w:pPr>
      <w:r>
        <w:rPr>
          <w:rFonts w:ascii="Arial" w:cs="Arial" w:eastAsia="Arial" w:hAnsi="Arial"/>
          <w:sz w:val="16"/>
          <w:szCs w:val="16"/>
          <w:color w:val="494949"/>
        </w:rPr>
        <w:t>Career Highlights</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6"/>
          <w:szCs w:val="16"/>
          <w:color w:val="494949"/>
        </w:rPr>
        <w:t>AH Realty Trust (NYSE: AHRT), formerly Armada Hoffler Properties, Inc. (formerly NYSE: AHH)</w:t>
      </w:r>
    </w:p>
    <w:p>
      <w:pPr>
        <w:spacing w:after="0" w:line="5" w:lineRule="exact"/>
        <w:rPr>
          <w:sz w:val="20"/>
          <w:szCs w:val="20"/>
          <w:color w:val="auto"/>
        </w:rPr>
      </w:pPr>
    </w:p>
    <w:p>
      <w:pPr>
        <w:ind w:left="109" w:hanging="109"/>
        <w:spacing w:after="0"/>
        <w:tabs>
          <w:tab w:leader="none" w:pos="109" w:val="left"/>
        </w:tabs>
        <w:numPr>
          <w:ilvl w:val="0"/>
          <w:numId w:val="47"/>
        </w:numPr>
        <w:rPr>
          <w:rFonts w:ascii="Arial" w:cs="Arial" w:eastAsia="Arial" w:hAnsi="Arial"/>
          <w:sz w:val="16"/>
          <w:szCs w:val="16"/>
          <w:color w:val="494949"/>
        </w:rPr>
      </w:pPr>
      <w:r>
        <w:rPr>
          <w:rFonts w:ascii="Arial" w:cs="Arial" w:eastAsia="Arial" w:hAnsi="Arial"/>
          <w:sz w:val="16"/>
          <w:szCs w:val="16"/>
          <w:color w:val="494949"/>
        </w:rPr>
        <w:t>President and Chief Executive Officer (1999-2024)</w:t>
      </w:r>
    </w:p>
    <w:p>
      <w:pPr>
        <w:spacing w:after="0" w:line="14" w:lineRule="exact"/>
        <w:rPr>
          <w:rFonts w:ascii="Arial" w:cs="Arial" w:eastAsia="Arial" w:hAnsi="Arial"/>
          <w:sz w:val="16"/>
          <w:szCs w:val="16"/>
          <w:color w:val="494949"/>
        </w:rPr>
      </w:pPr>
    </w:p>
    <w:p>
      <w:pPr>
        <w:ind w:left="109" w:hanging="109"/>
        <w:spacing w:after="0"/>
        <w:tabs>
          <w:tab w:leader="none" w:pos="109" w:val="left"/>
        </w:tabs>
        <w:numPr>
          <w:ilvl w:val="0"/>
          <w:numId w:val="47"/>
        </w:numPr>
        <w:rPr>
          <w:rFonts w:ascii="Arial" w:cs="Arial" w:eastAsia="Arial" w:hAnsi="Arial"/>
          <w:sz w:val="16"/>
          <w:szCs w:val="16"/>
          <w:color w:val="494949"/>
        </w:rPr>
      </w:pPr>
      <w:r>
        <w:rPr>
          <w:rFonts w:ascii="Arial" w:cs="Arial" w:eastAsia="Arial" w:hAnsi="Arial"/>
          <w:sz w:val="16"/>
          <w:szCs w:val="16"/>
          <w:color w:val="494949"/>
        </w:rPr>
        <w:t>President (1996-1999)</w:t>
      </w:r>
    </w:p>
    <w:p>
      <w:pPr>
        <w:spacing w:after="0" w:line="8" w:lineRule="exact"/>
        <w:rPr>
          <w:rFonts w:ascii="Arial" w:cs="Arial" w:eastAsia="Arial" w:hAnsi="Arial"/>
          <w:sz w:val="16"/>
          <w:szCs w:val="16"/>
          <w:color w:val="494949"/>
        </w:rPr>
      </w:pPr>
    </w:p>
    <w:p>
      <w:pPr>
        <w:ind w:left="109" w:hanging="109"/>
        <w:spacing w:after="0"/>
        <w:tabs>
          <w:tab w:leader="none" w:pos="109" w:val="left"/>
        </w:tabs>
        <w:numPr>
          <w:ilvl w:val="0"/>
          <w:numId w:val="47"/>
        </w:numPr>
        <w:rPr>
          <w:rFonts w:ascii="Arial" w:cs="Arial" w:eastAsia="Arial" w:hAnsi="Arial"/>
          <w:sz w:val="16"/>
          <w:szCs w:val="16"/>
          <w:color w:val="494949"/>
        </w:rPr>
      </w:pPr>
      <w:r>
        <w:rPr>
          <w:rFonts w:ascii="Arial" w:cs="Arial" w:eastAsia="Arial" w:hAnsi="Arial"/>
          <w:sz w:val="16"/>
          <w:szCs w:val="16"/>
          <w:color w:val="494949"/>
        </w:rPr>
        <w:t>President, Armada Hoffler Construction Company (1987-1996)</w:t>
      </w:r>
    </w:p>
    <w:p>
      <w:pPr>
        <w:spacing w:after="0" w:line="14" w:lineRule="exact"/>
        <w:rPr>
          <w:rFonts w:ascii="Arial" w:cs="Arial" w:eastAsia="Arial" w:hAnsi="Arial"/>
          <w:sz w:val="16"/>
          <w:szCs w:val="16"/>
          <w:color w:val="494949"/>
        </w:rPr>
      </w:pPr>
    </w:p>
    <w:p>
      <w:pPr>
        <w:ind w:left="109" w:hanging="109"/>
        <w:spacing w:after="0"/>
        <w:tabs>
          <w:tab w:leader="none" w:pos="109" w:val="left"/>
        </w:tabs>
        <w:numPr>
          <w:ilvl w:val="0"/>
          <w:numId w:val="47"/>
        </w:numPr>
        <w:rPr>
          <w:rFonts w:ascii="Arial" w:cs="Arial" w:eastAsia="Arial" w:hAnsi="Arial"/>
          <w:sz w:val="16"/>
          <w:szCs w:val="16"/>
          <w:color w:val="494949"/>
        </w:rPr>
      </w:pPr>
      <w:r>
        <w:rPr>
          <w:rFonts w:ascii="Arial" w:cs="Arial" w:eastAsia="Arial" w:hAnsi="Arial"/>
          <w:sz w:val="16"/>
          <w:szCs w:val="16"/>
          <w:color w:val="494949"/>
        </w:rPr>
        <w:t>On-site construction supervisor, Armada Hoffler Construction Company (1985-1987)</w:t>
      </w:r>
    </w:p>
    <w:p>
      <w:pPr>
        <w:spacing w:after="0" w:line="236" w:lineRule="exact"/>
        <w:rPr>
          <w:sz w:val="20"/>
          <w:szCs w:val="20"/>
          <w:color w:val="auto"/>
        </w:rPr>
      </w:pPr>
    </w:p>
    <w:p>
      <w:pPr>
        <w:ind w:left="9"/>
        <w:spacing w:after="0"/>
        <w:rPr>
          <w:sz w:val="20"/>
          <w:szCs w:val="20"/>
          <w:color w:val="auto"/>
        </w:rPr>
      </w:pPr>
      <w:r>
        <w:rPr>
          <w:rFonts w:ascii="Arial" w:cs="Arial" w:eastAsia="Arial" w:hAnsi="Arial"/>
          <w:sz w:val="16"/>
          <w:szCs w:val="16"/>
          <w:color w:val="494949"/>
        </w:rPr>
        <w:t>Harkins Builders – a construction management services company</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6"/>
          <w:szCs w:val="16"/>
          <w:color w:val="494949"/>
        </w:rPr>
        <w:t>• Superintendent (1980-1984)</w:t>
      </w:r>
    </w:p>
    <w:p>
      <w:pPr>
        <w:spacing w:after="0" w:line="200" w:lineRule="exact"/>
        <w:rPr>
          <w:sz w:val="20"/>
          <w:szCs w:val="20"/>
          <w:color w:val="auto"/>
        </w:rPr>
      </w:pPr>
    </w:p>
    <w:p>
      <w:pPr>
        <w:sectPr>
          <w:pgSz w:w="11900" w:h="16838" w:orient="portrait"/>
          <w:cols w:equalWidth="0" w:num="2">
            <w:col w:w="1871" w:space="720"/>
            <w:col w:w="8649"/>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15</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747C83"/>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478A3"/>
        </w:rPr>
        <w:t>Daniel A. Hoffler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Director Since: 2013</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Age: 77</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Education:</w:t>
      </w:r>
    </w:p>
    <w:p>
      <w:pPr>
        <w:spacing w:after="0" w:line="59" w:lineRule="exact"/>
        <w:rPr>
          <w:sz w:val="20"/>
          <w:szCs w:val="20"/>
          <w:color w:val="auto"/>
        </w:rPr>
      </w:pPr>
    </w:p>
    <w:p>
      <w:pPr>
        <w:ind w:left="20" w:right="140"/>
        <w:spacing w:after="0" w:line="304" w:lineRule="auto"/>
        <w:rPr>
          <w:sz w:val="20"/>
          <w:szCs w:val="20"/>
          <w:color w:val="auto"/>
        </w:rPr>
      </w:pPr>
      <w:r>
        <w:rPr>
          <w:rFonts w:ascii="Arial" w:cs="Arial" w:eastAsia="Arial" w:hAnsi="Arial"/>
          <w:sz w:val="16"/>
          <w:szCs w:val="16"/>
          <w:color w:val="3E474E"/>
        </w:rPr>
        <w:t>•B.S., Business, Campbell College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1478A3"/>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-167640</wp:posOffset>
            </wp:positionV>
            <wp:extent cx="7089140" cy="4826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9140" cy="4826000"/>
                    </a:xfrm>
                    <a:prstGeom prst="rect">
                      <a:avLst/>
                    </a:prstGeom>
                    <a:noFill/>
                  </pic:spPr>
                </pic:pic>
              </a:graphicData>
            </a:graphic>
          </wp:anchor>
        </w:drawing>
      </w:r>
    </w:p>
    <w:p>
      <w:pPr>
        <w:spacing w:after="0" w:line="376" w:lineRule="exact"/>
        <w:rPr>
          <w:sz w:val="20"/>
          <w:szCs w:val="20"/>
          <w:color w:val="auto"/>
        </w:rPr>
      </w:pPr>
    </w:p>
    <w:p>
      <w:pPr>
        <w:ind w:left="1"/>
        <w:spacing w:after="0"/>
        <w:rPr>
          <w:sz w:val="20"/>
          <w:szCs w:val="20"/>
          <w:color w:val="auto"/>
        </w:rPr>
      </w:pPr>
      <w:r>
        <w:rPr>
          <w:rFonts w:ascii="Arial" w:cs="Arial" w:eastAsia="Arial" w:hAnsi="Arial"/>
          <w:sz w:val="16"/>
          <w:szCs w:val="16"/>
          <w:color w:val="3E474E"/>
        </w:rPr>
        <w:t>Reasons for Nomination</w:t>
      </w:r>
    </w:p>
    <w:p>
      <w:pPr>
        <w:spacing w:after="0" w:line="21" w:lineRule="exact"/>
        <w:rPr>
          <w:sz w:val="20"/>
          <w:szCs w:val="20"/>
          <w:color w:val="auto"/>
        </w:rPr>
      </w:pPr>
    </w:p>
    <w:p>
      <w:pPr>
        <w:ind w:left="1" w:right="160"/>
        <w:spacing w:after="0" w:line="257" w:lineRule="auto"/>
        <w:rPr>
          <w:sz w:val="20"/>
          <w:szCs w:val="20"/>
          <w:color w:val="auto"/>
        </w:rPr>
      </w:pPr>
      <w:r>
        <w:rPr>
          <w:rFonts w:ascii="Arial" w:cs="Arial" w:eastAsia="Arial" w:hAnsi="Arial"/>
          <w:sz w:val="16"/>
          <w:szCs w:val="16"/>
          <w:color w:val="3E474E"/>
        </w:rPr>
        <w:t>Daniel Hoffler brings a founder-level perspective to the Board, having built AH Realty Trust’s vertically integrated real estate platform from its origins in development and construction into a diversified, publicly traded REIT. He offers deep institutional knowledge of the Company’s operations, strategic positioning, and long-standing relationships across its core markets, along with a demonstrated ability to navigate industry cycles. Mr. Hoffler’s track record of overseeing business transformation and his extensive industry expertise strengthen the Board’s oversight of AH Realty Trust’s sustainable growth.</w:t>
      </w:r>
    </w:p>
    <w:p>
      <w:pPr>
        <w:spacing w:after="0" w:line="219" w:lineRule="exact"/>
        <w:rPr>
          <w:sz w:val="20"/>
          <w:szCs w:val="20"/>
          <w:color w:val="auto"/>
        </w:rPr>
      </w:pPr>
    </w:p>
    <w:p>
      <w:pPr>
        <w:ind w:left="1"/>
        <w:spacing w:after="0"/>
        <w:rPr>
          <w:sz w:val="20"/>
          <w:szCs w:val="20"/>
          <w:color w:val="auto"/>
        </w:rPr>
      </w:pPr>
      <w:r>
        <w:rPr>
          <w:rFonts w:ascii="Arial" w:cs="Arial" w:eastAsia="Arial" w:hAnsi="Arial"/>
          <w:sz w:val="16"/>
          <w:szCs w:val="16"/>
          <w:color w:val="3E474E"/>
        </w:rPr>
        <w:t>Key Skills and Expertise</w:t>
      </w:r>
    </w:p>
    <w:p>
      <w:pPr>
        <w:spacing w:after="0" w:line="21" w:lineRule="exact"/>
        <w:rPr>
          <w:sz w:val="20"/>
          <w:szCs w:val="20"/>
          <w:color w:val="auto"/>
        </w:rPr>
      </w:pPr>
    </w:p>
    <w:p>
      <w:pPr>
        <w:ind w:left="1" w:right="740" w:hanging="1"/>
        <w:spacing w:after="0" w:line="283" w:lineRule="auto"/>
        <w:tabs>
          <w:tab w:leader="none" w:pos="102" w:val="left"/>
        </w:tabs>
        <w:numPr>
          <w:ilvl w:val="0"/>
          <w:numId w:val="48"/>
        </w:numPr>
        <w:rPr>
          <w:rFonts w:ascii="Arial" w:cs="Arial" w:eastAsia="Arial" w:hAnsi="Arial"/>
          <w:sz w:val="16"/>
          <w:szCs w:val="16"/>
          <w:color w:val="3E474E"/>
        </w:rPr>
      </w:pPr>
      <w:r>
        <w:rPr>
          <w:rFonts w:ascii="Arial" w:cs="Arial" w:eastAsia="Arial" w:hAnsi="Arial"/>
          <w:sz w:val="16"/>
          <w:szCs w:val="16"/>
          <w:color w:val="3E474E"/>
        </w:rPr>
        <w:t>Mr. Hoffler has overseen AH Realty Trust’s expansion into new markets, diversified the portfolio, and built a performance-driven culture across the organization.</w:t>
      </w:r>
    </w:p>
    <w:p>
      <w:pPr>
        <w:spacing w:after="0" w:line="184" w:lineRule="exact"/>
        <w:rPr>
          <w:rFonts w:ascii="Arial" w:cs="Arial" w:eastAsia="Arial" w:hAnsi="Arial"/>
          <w:sz w:val="16"/>
          <w:szCs w:val="16"/>
          <w:color w:val="3E474E"/>
        </w:rPr>
      </w:pPr>
    </w:p>
    <w:p>
      <w:pPr>
        <w:ind w:left="1" w:right="200" w:hanging="1"/>
        <w:spacing w:after="0" w:line="265" w:lineRule="auto"/>
        <w:tabs>
          <w:tab w:leader="none" w:pos="102" w:val="left"/>
        </w:tabs>
        <w:numPr>
          <w:ilvl w:val="0"/>
          <w:numId w:val="48"/>
        </w:numPr>
        <w:rPr>
          <w:rFonts w:ascii="Arial" w:cs="Arial" w:eastAsia="Arial" w:hAnsi="Arial"/>
          <w:sz w:val="16"/>
          <w:szCs w:val="16"/>
          <w:color w:val="3E474E"/>
        </w:rPr>
      </w:pPr>
      <w:r>
        <w:rPr>
          <w:rFonts w:ascii="Arial" w:cs="Arial" w:eastAsia="Arial" w:hAnsi="Arial"/>
          <w:sz w:val="16"/>
          <w:szCs w:val="16"/>
          <w:color w:val="3E474E"/>
        </w:rPr>
        <w:t>With decades of experience in commercial real estate development, including leadership roles at Eastern International, Mr. Hoffler brings hands-on expertise across the full real estate lifecycle, including development, construction, leasing, and operations. His expertise in executing complex projects provides practical insight into cost management, project risk, and market dynamics, and informs the Board’s oversight of operational execution.</w:t>
      </w:r>
    </w:p>
    <w:p>
      <w:pPr>
        <w:spacing w:after="0" w:line="199" w:lineRule="exact"/>
        <w:rPr>
          <w:rFonts w:ascii="Arial" w:cs="Arial" w:eastAsia="Arial" w:hAnsi="Arial"/>
          <w:sz w:val="16"/>
          <w:szCs w:val="16"/>
          <w:color w:val="3E474E"/>
        </w:rPr>
      </w:pPr>
    </w:p>
    <w:p>
      <w:pPr>
        <w:ind w:left="1" w:right="480" w:hanging="1"/>
        <w:spacing w:after="0" w:line="275" w:lineRule="auto"/>
        <w:tabs>
          <w:tab w:leader="none" w:pos="102" w:val="left"/>
        </w:tabs>
        <w:numPr>
          <w:ilvl w:val="0"/>
          <w:numId w:val="48"/>
        </w:numPr>
        <w:rPr>
          <w:rFonts w:ascii="Arial" w:cs="Arial" w:eastAsia="Arial" w:hAnsi="Arial"/>
          <w:sz w:val="16"/>
          <w:szCs w:val="16"/>
          <w:color w:val="3E474E"/>
        </w:rPr>
      </w:pPr>
      <w:r>
        <w:rPr>
          <w:rFonts w:ascii="Arial" w:cs="Arial" w:eastAsia="Arial" w:hAnsi="Arial"/>
          <w:sz w:val="16"/>
          <w:szCs w:val="16"/>
          <w:color w:val="3E474E"/>
        </w:rPr>
        <w:t>Mr. Hoffler brings significant capital markets experience, having led the Company’s IPO in 2013 and shaped its approach to capital formation. His perspective supports the Board’s oversight of financing strategy and capital allocation.</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16"/>
          <w:szCs w:val="16"/>
          <w:color w:val="3E474E"/>
        </w:rPr>
        <w:t>Career Highlights</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color w:val="3E474E"/>
        </w:rPr>
        <w:t>Armada Hoffler Properties – the predecessor entity to AH Realty Trust (NYSE: AHRT)</w:t>
      </w:r>
    </w:p>
    <w:p>
      <w:pPr>
        <w:spacing w:after="0" w:line="5" w:lineRule="exact"/>
        <w:rPr>
          <w:sz w:val="20"/>
          <w:szCs w:val="20"/>
          <w:color w:val="auto"/>
        </w:rPr>
      </w:pPr>
    </w:p>
    <w:p>
      <w:pPr>
        <w:ind w:left="101" w:hanging="101"/>
        <w:spacing w:after="0"/>
        <w:tabs>
          <w:tab w:leader="none" w:pos="101" w:val="left"/>
        </w:tabs>
        <w:numPr>
          <w:ilvl w:val="0"/>
          <w:numId w:val="49"/>
        </w:numPr>
        <w:rPr>
          <w:rFonts w:ascii="Arial" w:cs="Arial" w:eastAsia="Arial" w:hAnsi="Arial"/>
          <w:sz w:val="16"/>
          <w:szCs w:val="16"/>
          <w:color w:val="3E474E"/>
        </w:rPr>
      </w:pPr>
      <w:r>
        <w:rPr>
          <w:rFonts w:ascii="Arial" w:cs="Arial" w:eastAsia="Arial" w:hAnsi="Arial"/>
          <w:sz w:val="16"/>
          <w:szCs w:val="16"/>
          <w:color w:val="3E474E"/>
        </w:rPr>
        <w:t>Executive Chairman (2013-2024)</w:t>
      </w:r>
    </w:p>
    <w:p>
      <w:pPr>
        <w:spacing w:after="0" w:line="14" w:lineRule="exact"/>
        <w:rPr>
          <w:rFonts w:ascii="Arial" w:cs="Arial" w:eastAsia="Arial" w:hAnsi="Arial"/>
          <w:sz w:val="16"/>
          <w:szCs w:val="16"/>
          <w:color w:val="3E474E"/>
        </w:rPr>
      </w:pPr>
    </w:p>
    <w:p>
      <w:pPr>
        <w:ind w:left="101" w:hanging="101"/>
        <w:spacing w:after="0"/>
        <w:tabs>
          <w:tab w:leader="none" w:pos="101" w:val="left"/>
        </w:tabs>
        <w:numPr>
          <w:ilvl w:val="0"/>
          <w:numId w:val="49"/>
        </w:numPr>
        <w:rPr>
          <w:rFonts w:ascii="Arial" w:cs="Arial" w:eastAsia="Arial" w:hAnsi="Arial"/>
          <w:sz w:val="16"/>
          <w:szCs w:val="16"/>
          <w:color w:val="3E474E"/>
        </w:rPr>
      </w:pPr>
      <w:r>
        <w:rPr>
          <w:rFonts w:ascii="Arial" w:cs="Arial" w:eastAsia="Arial" w:hAnsi="Arial"/>
          <w:sz w:val="16"/>
          <w:szCs w:val="16"/>
          <w:color w:val="3E474E"/>
        </w:rPr>
        <w:t>Founder (since 1979)</w:t>
      </w:r>
    </w:p>
    <w:p>
      <w:pPr>
        <w:spacing w:after="0" w:line="236" w:lineRule="exact"/>
        <w:rPr>
          <w:sz w:val="20"/>
          <w:szCs w:val="20"/>
          <w:color w:val="auto"/>
        </w:rPr>
      </w:pPr>
    </w:p>
    <w:p>
      <w:pPr>
        <w:ind w:left="1" w:right="1800"/>
        <w:spacing w:after="0" w:line="304" w:lineRule="auto"/>
        <w:rPr>
          <w:sz w:val="20"/>
          <w:szCs w:val="20"/>
          <w:color w:val="auto"/>
        </w:rPr>
      </w:pPr>
      <w:r>
        <w:rPr>
          <w:rFonts w:ascii="Arial" w:cs="Arial" w:eastAsia="Arial" w:hAnsi="Arial"/>
          <w:sz w:val="16"/>
          <w:szCs w:val="16"/>
          <w:color w:val="3E474E"/>
        </w:rPr>
        <w:t>Eastern International, Inc. – a commercial real estate development and construction company • Vice President of Marketing (1975-1978)</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color w:val="3E474E"/>
        </w:rPr>
        <w:t>Dun &amp; Bradstreet – market intelligence and data provider</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color w:val="3E474E"/>
        </w:rPr>
        <w:t>• Regional Manager (1972-1974)</w:t>
      </w:r>
    </w:p>
    <w:p>
      <w:pPr>
        <w:spacing w:after="0" w:line="200" w:lineRule="exact"/>
        <w:rPr>
          <w:sz w:val="20"/>
          <w:szCs w:val="20"/>
          <w:color w:val="auto"/>
        </w:rPr>
      </w:pPr>
    </w:p>
    <w:p>
      <w:pPr>
        <w:sectPr>
          <w:pgSz w:w="11900" w:h="16838" w:orient="portrait"/>
          <w:cols w:equalWidth="0" w:num="2">
            <w:col w:w="2060" w:space="679"/>
            <w:col w:w="8501"/>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16</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747C83"/>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735330</wp:posOffset>
            </wp:positionV>
            <wp:extent cx="7174865" cy="4989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98919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478A3"/>
        </w:rPr>
        <w:t>Shawn J. Tibbetts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E474E"/>
        </w:rPr>
        <w:t xml:space="preserve">Director Since: </w:t>
      </w:r>
      <w:r>
        <w:rPr>
          <w:rFonts w:ascii="Arial" w:cs="Arial" w:eastAsia="Arial" w:hAnsi="Arial"/>
          <w:sz w:val="16"/>
          <w:szCs w:val="16"/>
          <w:color w:val="3E474E"/>
        </w:rPr>
        <w:t>2025</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E474E"/>
        </w:rPr>
        <w:t xml:space="preserve">Age: </w:t>
      </w:r>
      <w:r>
        <w:rPr>
          <w:rFonts w:ascii="Arial" w:cs="Arial" w:eastAsia="Arial" w:hAnsi="Arial"/>
          <w:sz w:val="16"/>
          <w:szCs w:val="16"/>
          <w:color w:val="3E474E"/>
        </w:rPr>
        <w:t>45</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E474E"/>
        </w:rPr>
        <w:t>Education: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•B.B.A., James Madison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University</w:t>
      </w:r>
    </w:p>
    <w:p>
      <w:pPr>
        <w:spacing w:after="0" w:line="9" w:lineRule="exact"/>
        <w:rPr>
          <w:sz w:val="20"/>
          <w:szCs w:val="20"/>
          <w:color w:val="auto"/>
        </w:rPr>
      </w:pPr>
    </w:p>
    <w:p>
      <w:pPr>
        <w:ind w:left="20"/>
        <w:spacing w:after="0" w:line="252" w:lineRule="auto"/>
        <w:rPr>
          <w:sz w:val="20"/>
          <w:szCs w:val="20"/>
          <w:color w:val="auto"/>
        </w:rPr>
      </w:pPr>
      <w:r>
        <w:rPr>
          <w:rFonts w:ascii="Arial" w:cs="Arial" w:eastAsia="Arial" w:hAnsi="Arial"/>
          <w:sz w:val="16"/>
          <w:szCs w:val="16"/>
          <w:color w:val="3E474E"/>
        </w:rPr>
        <w:t>•MBA, the College of William &amp; Mary</w:t>
      </w:r>
    </w:p>
    <w:p>
      <w:pPr>
        <w:spacing w:after="0" w:line="1" w:lineRule="exact"/>
        <w:rPr>
          <w:sz w:val="20"/>
          <w:szCs w:val="20"/>
          <w:color w:val="auto"/>
        </w:rPr>
      </w:pPr>
    </w:p>
    <w:p>
      <w:pPr>
        <w:ind w:left="20" w:right="220"/>
        <w:spacing w:after="0" w:line="255" w:lineRule="auto"/>
        <w:rPr>
          <w:sz w:val="20"/>
          <w:szCs w:val="20"/>
          <w:color w:val="auto"/>
        </w:rPr>
      </w:pPr>
      <w:r>
        <w:rPr>
          <w:rFonts w:ascii="Arial" w:cs="Arial" w:eastAsia="Arial" w:hAnsi="Arial"/>
          <w:sz w:val="16"/>
          <w:szCs w:val="16"/>
          <w:color w:val="3E474E"/>
        </w:rPr>
        <w:t>•Advanced Management Program, Harvard Business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School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1478A3"/>
        </w:rPr>
        <w:t>Chairman, Chief Executive Officer, and President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494949"/>
        </w:rPr>
        <w:t>Reasons for Nomination</w:t>
      </w:r>
    </w:p>
    <w:p>
      <w:pPr>
        <w:spacing w:after="0" w:line="2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494949"/>
        </w:rPr>
        <w:t>Shawn J. Tibbetts is a seasoned executive with leadership experience across real estate and infrastructure with a focus on operating efficiency, talent development and organizational design. Mr. Tibbetts brings extensive experience in disciplined capital allocation and large-scale project execution, providing valuable insight to the Board’s oversight of the Company’s long-term growth strategy.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494949"/>
        </w:rPr>
        <w:t>Key Skills and Expertise</w:t>
      </w:r>
    </w:p>
    <w:p>
      <w:pPr>
        <w:spacing w:after="0" w:line="21"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494949"/>
        </w:rPr>
        <w:t>•Mr. Tibbetts is spearheading the Company’s strategic transformation, sharpening its focus and enhancing its retail and office portfolio to unlock growth and operational flexibility to capitalize on opportunities across market cycles. In his prior role as Chief Operating Officer, he grew net operating income across the Company’s portfolio by approximately 45% and oversaw the execution of transactions totaling more than $1.2 billion.</w:t>
      </w:r>
    </w:p>
    <w:p>
      <w:pPr>
        <w:spacing w:after="0" w:line="20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494949"/>
        </w:rPr>
        <w:t>•During his tenure at the Port of Virginia, Mr. Tibbetts led enterprise-wide operations and major development projects to improve efficiency, capacity, and reliability across its ecosystem. In his role, Mr. Tibbetts oversaw revenue growth initiatives while significantly reducing operating expenses across the ecosystem, as well as the planning, implementation, and execution phases of the technology-driven modernization and capacity expansion projects across the portfolio.</w:t>
      </w:r>
    </w:p>
    <w:p>
      <w:pPr>
        <w:spacing w:after="0" w:line="218"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494949"/>
        </w:rPr>
        <w:t>•His extensive industry and business expertise, including overseeing infrastructure operations with responsibility for optimizing portfolio P&amp;L and operations brings valuable perspective to the Board’s oversight of asset operations and capital deployment at AH Realty Trust.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494949"/>
        </w:rPr>
        <w:t>Career Highlights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94949"/>
        </w:rPr>
        <w:t>AH Realty Trust (NYSE: AHRT)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494949"/>
        </w:rPr>
        <w:t>•President and Chief Executive Officer (since 2025)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494949"/>
        </w:rPr>
        <w:t>•President and Chief Operating Officer (2024)</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494949"/>
        </w:rPr>
        <w:t>•Chief Operating Officer (2019-2024)</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494949"/>
        </w:rPr>
        <w:t>The Port of Virginia – a state-owned port system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94949"/>
        </w:rPr>
        <w:t>•President and Chief Operations Officer (2014-2019)</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494949"/>
        </w:rPr>
        <w:t>•Senior Vice President, Operations (2013-2014)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494949"/>
        </w:rPr>
        <w:t>•Vice President, Director, Operations and Maintenance (2011-2013)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494949"/>
        </w:rPr>
        <w:t>•General Manager, A.P. Moller Terminals (APMT) Virginia (2010-2011)</w:t>
      </w:r>
    </w:p>
    <w:p>
      <w:pPr>
        <w:spacing w:after="0" w:line="236" w:lineRule="exact"/>
        <w:rPr>
          <w:sz w:val="20"/>
          <w:szCs w:val="20"/>
          <w:color w:val="auto"/>
        </w:rPr>
      </w:pPr>
    </w:p>
    <w:p>
      <w:pPr>
        <w:ind w:right="2120"/>
        <w:spacing w:after="0" w:line="286" w:lineRule="auto"/>
        <w:rPr>
          <w:sz w:val="20"/>
          <w:szCs w:val="20"/>
          <w:color w:val="auto"/>
        </w:rPr>
      </w:pPr>
      <w:r>
        <w:rPr>
          <w:rFonts w:ascii="Arial" w:cs="Arial" w:eastAsia="Arial" w:hAnsi="Arial"/>
          <w:sz w:val="16"/>
          <w:szCs w:val="16"/>
          <w:color w:val="494949"/>
        </w:rPr>
        <w:t>APM Terminals (a global subsidiary of A.P. Moller Maersk) – a port and terminal operator •Operations management positions of increased responsibility (2003-2010)</w:t>
      </w:r>
    </w:p>
    <w:p>
      <w:pPr>
        <w:spacing w:after="0" w:line="200" w:lineRule="exact"/>
        <w:rPr>
          <w:sz w:val="20"/>
          <w:szCs w:val="20"/>
          <w:color w:val="auto"/>
        </w:rPr>
      </w:pPr>
    </w:p>
    <w:p>
      <w:pPr>
        <w:sectPr>
          <w:pgSz w:w="11900" w:h="16838" w:orient="portrait"/>
          <w:cols w:equalWidth="0" w:num="2">
            <w:col w:w="2240" w:space="560"/>
            <w:col w:w="844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17</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747C83"/>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735330</wp:posOffset>
            </wp:positionV>
            <wp:extent cx="7174865" cy="5477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47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0"/>
        <w:spacing w:after="0"/>
        <w:tabs>
          <w:tab w:leader="none" w:pos="2780" w:val="left"/>
        </w:tabs>
        <w:rPr>
          <w:sz w:val="20"/>
          <w:szCs w:val="20"/>
          <w:color w:val="auto"/>
        </w:rPr>
      </w:pPr>
      <w:r>
        <w:rPr>
          <w:rFonts w:ascii="Arial" w:cs="Arial" w:eastAsia="Arial" w:hAnsi="Arial"/>
          <w:sz w:val="22"/>
          <w:szCs w:val="22"/>
          <w:b w:val="1"/>
          <w:bCs w:val="1"/>
          <w:color w:val="1478A3"/>
        </w:rPr>
        <w:t>F. Blair Wimbush</w:t>
      </w:r>
      <w:r>
        <w:rPr>
          <w:sz w:val="20"/>
          <w:szCs w:val="20"/>
          <w:color w:val="auto"/>
        </w:rPr>
        <w:tab/>
      </w:r>
      <w:r>
        <w:rPr>
          <w:rFonts w:ascii="Arial" w:cs="Arial" w:eastAsia="Arial" w:hAnsi="Arial"/>
          <w:sz w:val="21"/>
          <w:szCs w:val="21"/>
          <w:b w:val="1"/>
          <w:bCs w:val="1"/>
          <w:color w:val="1478A3"/>
        </w:rPr>
        <w:t>Independent Director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Director Since: 2024</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Committees:</w:t>
      </w:r>
    </w:p>
    <w:p>
      <w:pPr>
        <w:spacing w:after="0" w:line="73" w:lineRule="exact"/>
        <w:rPr>
          <w:sz w:val="20"/>
          <w:szCs w:val="20"/>
          <w:color w:val="auto"/>
        </w:rPr>
      </w:pPr>
    </w:p>
    <w:p>
      <w:pPr>
        <w:ind w:left="20" w:right="400" w:firstLine="6"/>
        <w:spacing w:after="0" w:line="263" w:lineRule="auto"/>
        <w:tabs>
          <w:tab w:leader="none" w:pos="122" w:val="left"/>
        </w:tabs>
        <w:numPr>
          <w:ilvl w:val="0"/>
          <w:numId w:val="50"/>
        </w:numPr>
        <w:rPr>
          <w:rFonts w:ascii="Arial" w:cs="Arial" w:eastAsia="Arial" w:hAnsi="Arial"/>
          <w:sz w:val="16"/>
          <w:szCs w:val="16"/>
          <w:color w:val="3E474E"/>
        </w:rPr>
      </w:pPr>
      <w:r>
        <w:rPr>
          <w:rFonts w:ascii="Arial" w:cs="Arial" w:eastAsia="Arial" w:hAnsi="Arial"/>
          <w:sz w:val="16"/>
          <w:szCs w:val="16"/>
          <w:color w:val="3E474E"/>
        </w:rPr>
        <w:t>Nominating and Corporate Governance (Chair)</w:t>
      </w:r>
    </w:p>
    <w:p>
      <w:pPr>
        <w:ind w:left="120" w:hanging="94"/>
        <w:spacing w:after="0"/>
        <w:tabs>
          <w:tab w:leader="none" w:pos="120" w:val="left"/>
        </w:tabs>
        <w:numPr>
          <w:ilvl w:val="0"/>
          <w:numId w:val="50"/>
        </w:numPr>
        <w:rPr>
          <w:rFonts w:ascii="Arial" w:cs="Arial" w:eastAsia="Arial" w:hAnsi="Arial"/>
          <w:sz w:val="16"/>
          <w:szCs w:val="16"/>
          <w:color w:val="3E474E"/>
        </w:rPr>
      </w:pPr>
      <w:r>
        <w:rPr>
          <w:rFonts w:ascii="Arial" w:cs="Arial" w:eastAsia="Arial" w:hAnsi="Arial"/>
          <w:sz w:val="16"/>
          <w:szCs w:val="16"/>
          <w:color w:val="3E474E"/>
        </w:rPr>
        <w:t>Audit</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Age: 70</w:t>
      </w:r>
    </w:p>
    <w:p>
      <w:pPr>
        <w:spacing w:after="0" w:line="302" w:lineRule="exact"/>
        <w:rPr>
          <w:sz w:val="20"/>
          <w:szCs w:val="20"/>
          <w:color w:val="auto"/>
        </w:rPr>
      </w:pPr>
    </w:p>
    <w:p>
      <w:pPr>
        <w:ind w:left="20" w:right="260"/>
        <w:spacing w:after="0" w:line="290" w:lineRule="auto"/>
        <w:rPr>
          <w:sz w:val="20"/>
          <w:szCs w:val="20"/>
          <w:color w:val="auto"/>
        </w:rPr>
      </w:pPr>
      <w:r>
        <w:rPr>
          <w:rFonts w:ascii="Arial" w:cs="Arial" w:eastAsia="Arial" w:hAnsi="Arial"/>
          <w:sz w:val="16"/>
          <w:szCs w:val="16"/>
          <w:color w:val="3E474E"/>
        </w:rPr>
        <w:t>Other Company Directorships (past 5 years):</w:t>
      </w:r>
    </w:p>
    <w:p>
      <w:pPr>
        <w:spacing w:after="0" w:line="1" w:lineRule="exact"/>
        <w:rPr>
          <w:sz w:val="20"/>
          <w:szCs w:val="20"/>
          <w:color w:val="auto"/>
        </w:rPr>
      </w:pPr>
    </w:p>
    <w:p>
      <w:pPr>
        <w:ind w:left="20" w:firstLine="6"/>
        <w:spacing w:after="0" w:line="304" w:lineRule="auto"/>
        <w:tabs>
          <w:tab w:leader="none" w:pos="122" w:val="left"/>
        </w:tabs>
        <w:numPr>
          <w:ilvl w:val="0"/>
          <w:numId w:val="51"/>
        </w:numPr>
        <w:rPr>
          <w:rFonts w:ascii="Arial" w:cs="Arial" w:eastAsia="Arial" w:hAnsi="Arial"/>
          <w:sz w:val="16"/>
          <w:szCs w:val="16"/>
          <w:color w:val="3E474E"/>
        </w:rPr>
      </w:pPr>
      <w:r>
        <w:rPr>
          <w:rFonts w:ascii="Arial" w:cs="Arial" w:eastAsia="Arial" w:hAnsi="Arial"/>
          <w:sz w:val="16"/>
          <w:szCs w:val="16"/>
          <w:color w:val="3E474E"/>
        </w:rPr>
        <w:t>Atlantic Union Bankshares Corp (NYSE: AUB) (since 2018)</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Education:</w:t>
      </w:r>
    </w:p>
    <w:p>
      <w:pPr>
        <w:spacing w:after="0" w:line="59" w:lineRule="exact"/>
        <w:rPr>
          <w:sz w:val="20"/>
          <w:szCs w:val="20"/>
          <w:color w:val="auto"/>
        </w:rPr>
      </w:pPr>
    </w:p>
    <w:p>
      <w:pPr>
        <w:jc w:val="both"/>
        <w:ind w:left="20" w:right="680" w:firstLine="6"/>
        <w:spacing w:after="0" w:line="265" w:lineRule="auto"/>
        <w:tabs>
          <w:tab w:leader="none" w:pos="122" w:val="left"/>
        </w:tabs>
        <w:numPr>
          <w:ilvl w:val="0"/>
          <w:numId w:val="52"/>
        </w:numPr>
        <w:rPr>
          <w:rFonts w:ascii="Arial" w:cs="Arial" w:eastAsia="Arial" w:hAnsi="Arial"/>
          <w:sz w:val="16"/>
          <w:szCs w:val="16"/>
          <w:color w:val="3E474E"/>
        </w:rPr>
      </w:pPr>
      <w:r>
        <w:rPr>
          <w:rFonts w:ascii="Arial" w:cs="Arial" w:eastAsia="Arial" w:hAnsi="Arial"/>
          <w:sz w:val="16"/>
          <w:szCs w:val="16"/>
          <w:color w:val="3E474E"/>
        </w:rPr>
        <w:t>B.A., Political Science, University of Rochester</w:t>
      </w:r>
    </w:p>
    <w:p>
      <w:pPr>
        <w:spacing w:after="0" w:line="1" w:lineRule="exact"/>
        <w:rPr>
          <w:rFonts w:ascii="Arial" w:cs="Arial" w:eastAsia="Arial" w:hAnsi="Arial"/>
          <w:sz w:val="16"/>
          <w:szCs w:val="16"/>
          <w:color w:val="3E474E"/>
        </w:rPr>
      </w:pPr>
    </w:p>
    <w:p>
      <w:pPr>
        <w:ind w:left="20" w:right="440" w:firstLine="6"/>
        <w:spacing w:after="0" w:line="252" w:lineRule="auto"/>
        <w:tabs>
          <w:tab w:leader="none" w:pos="122" w:val="left"/>
        </w:tabs>
        <w:numPr>
          <w:ilvl w:val="0"/>
          <w:numId w:val="52"/>
        </w:numPr>
        <w:rPr>
          <w:rFonts w:ascii="Arial" w:cs="Arial" w:eastAsia="Arial" w:hAnsi="Arial"/>
          <w:sz w:val="16"/>
          <w:szCs w:val="16"/>
          <w:color w:val="3E474E"/>
        </w:rPr>
      </w:pPr>
      <w:r>
        <w:rPr>
          <w:rFonts w:ascii="Arial" w:cs="Arial" w:eastAsia="Arial" w:hAnsi="Arial"/>
          <w:sz w:val="16"/>
          <w:szCs w:val="16"/>
          <w:color w:val="3E474E"/>
        </w:rPr>
        <w:t>J.D., University of Virginia School of Law</w:t>
      </w:r>
    </w:p>
    <w:p>
      <w:pPr>
        <w:spacing w:after="0" w:line="1" w:lineRule="exact"/>
        <w:rPr>
          <w:rFonts w:ascii="Arial" w:cs="Arial" w:eastAsia="Arial" w:hAnsi="Arial"/>
          <w:sz w:val="16"/>
          <w:szCs w:val="16"/>
          <w:color w:val="3E474E"/>
        </w:rPr>
      </w:pPr>
    </w:p>
    <w:p>
      <w:pPr>
        <w:ind w:left="20" w:right="400" w:firstLine="6"/>
        <w:spacing w:after="0" w:line="267" w:lineRule="auto"/>
        <w:tabs>
          <w:tab w:leader="none" w:pos="122" w:val="left"/>
        </w:tabs>
        <w:numPr>
          <w:ilvl w:val="0"/>
          <w:numId w:val="52"/>
        </w:numPr>
        <w:rPr>
          <w:rFonts w:ascii="Arial" w:cs="Arial" w:eastAsia="Arial" w:hAnsi="Arial"/>
          <w:sz w:val="16"/>
          <w:szCs w:val="16"/>
          <w:color w:val="3E474E"/>
        </w:rPr>
      </w:pPr>
      <w:r>
        <w:rPr>
          <w:rFonts w:ascii="Arial" w:cs="Arial" w:eastAsia="Arial" w:hAnsi="Arial"/>
          <w:sz w:val="16"/>
          <w:szCs w:val="16"/>
          <w:color w:val="3E474E"/>
        </w:rPr>
        <w:t>Advanced Management Program, Harvard Business School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Arial" w:cs="Arial" w:eastAsia="Arial" w:hAnsi="Arial"/>
          <w:sz w:val="16"/>
          <w:szCs w:val="16"/>
          <w:color w:val="3E474E"/>
        </w:rPr>
        <w:t>Reasons for Nomination</w:t>
      </w:r>
    </w:p>
    <w:p>
      <w:pPr>
        <w:spacing w:after="0" w:line="21" w:lineRule="exact"/>
        <w:rPr>
          <w:sz w:val="20"/>
          <w:szCs w:val="20"/>
          <w:color w:val="auto"/>
        </w:rPr>
      </w:pPr>
    </w:p>
    <w:p>
      <w:pPr>
        <w:ind w:left="7" w:right="360"/>
        <w:spacing w:after="0" w:line="260" w:lineRule="auto"/>
        <w:rPr>
          <w:sz w:val="20"/>
          <w:szCs w:val="20"/>
          <w:color w:val="auto"/>
        </w:rPr>
      </w:pPr>
      <w:r>
        <w:rPr>
          <w:rFonts w:ascii="Arial" w:cs="Arial" w:eastAsia="Arial" w:hAnsi="Arial"/>
          <w:sz w:val="16"/>
          <w:szCs w:val="16"/>
          <w:color w:val="3E474E"/>
        </w:rPr>
        <w:t>F. Blair Wimbush is an accomplished executive with expertise overseeing capital intensive real estate and infrastructure assets in highly regulated environments. He brings a disciplined perspective on portfolio strategy, capital allocation, and long-term asset stewardship, along with valuable expertise in risk mitigation and regulatory oversight, which strengthens the Board’s ability to oversee the Company’s evolving operational and financial priorities.</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16"/>
          <w:szCs w:val="16"/>
          <w:color w:val="3E474E"/>
        </w:rPr>
        <w:t>Key Skills and Expertise</w:t>
      </w:r>
    </w:p>
    <w:p>
      <w:pPr>
        <w:spacing w:after="0" w:line="31" w:lineRule="exact"/>
        <w:rPr>
          <w:sz w:val="20"/>
          <w:szCs w:val="20"/>
          <w:color w:val="auto"/>
        </w:rPr>
      </w:pPr>
    </w:p>
    <w:p>
      <w:pPr>
        <w:ind w:left="7" w:right="40" w:hanging="7"/>
        <w:spacing w:after="0" w:line="258" w:lineRule="auto"/>
        <w:tabs>
          <w:tab w:leader="none" w:pos="108" w:val="left"/>
        </w:tabs>
        <w:numPr>
          <w:ilvl w:val="0"/>
          <w:numId w:val="53"/>
        </w:numPr>
        <w:rPr>
          <w:rFonts w:ascii="Arial" w:cs="Arial" w:eastAsia="Arial" w:hAnsi="Arial"/>
          <w:sz w:val="16"/>
          <w:szCs w:val="16"/>
          <w:color w:val="3E474E"/>
        </w:rPr>
      </w:pPr>
      <w:r>
        <w:rPr>
          <w:rFonts w:ascii="Arial" w:cs="Arial" w:eastAsia="Arial" w:hAnsi="Arial"/>
          <w:sz w:val="16"/>
          <w:szCs w:val="16"/>
          <w:color w:val="3E474E"/>
        </w:rPr>
        <w:t>Mr. Wimbush has more than 35 years of leadership experience at Norfolk Southern, including as Chief Real Estate Officer, where he was responsible for guiding the company’s portfolio level real estate strategy across more than 20,000 route miles through 22 states . As Chief Sustainability Officer, he facilitated a $53 million energy conversion project at its primary locomotive shop, with significant reductions in gas, water and electricity consumption. In his dual role, he also led a $10 million enterprise-wide capital program across ~600 office facilities, delivering substantial cost savings and operational efficiencies .</w:t>
      </w:r>
    </w:p>
    <w:p>
      <w:pPr>
        <w:spacing w:after="0" w:line="205" w:lineRule="exact"/>
        <w:rPr>
          <w:rFonts w:ascii="Arial" w:cs="Arial" w:eastAsia="Arial" w:hAnsi="Arial"/>
          <w:sz w:val="16"/>
          <w:szCs w:val="16"/>
          <w:color w:val="3E474E"/>
        </w:rPr>
      </w:pPr>
    </w:p>
    <w:p>
      <w:pPr>
        <w:ind w:left="7" w:right="20" w:hanging="7"/>
        <w:spacing w:after="0" w:line="265" w:lineRule="auto"/>
        <w:tabs>
          <w:tab w:leader="none" w:pos="108" w:val="left"/>
        </w:tabs>
        <w:numPr>
          <w:ilvl w:val="0"/>
          <w:numId w:val="53"/>
        </w:numPr>
        <w:rPr>
          <w:rFonts w:ascii="Arial" w:cs="Arial" w:eastAsia="Arial" w:hAnsi="Arial"/>
          <w:sz w:val="16"/>
          <w:szCs w:val="16"/>
          <w:color w:val="3E474E"/>
        </w:rPr>
      </w:pPr>
      <w:r>
        <w:rPr>
          <w:rFonts w:ascii="Arial" w:cs="Arial" w:eastAsia="Arial" w:hAnsi="Arial"/>
          <w:sz w:val="16"/>
          <w:szCs w:val="16"/>
          <w:color w:val="3E474E"/>
        </w:rPr>
        <w:t>As a seasoned legal and regulatory executive, Mr. Wimbush has advanced public-private partnerships with local, state, and federal agencies to modernize critical rail infrastructure. In his numerous legal roles at Norfolk Southern, he facilitated initiatives to develop important freight facilities and upgrade key freight corridors, projects requiring close coordination with governmental entities and regulatory stakeholders, enhancing efficiency while advancing environmentally sustainable transportation solutions.</w:t>
      </w:r>
    </w:p>
    <w:p>
      <w:pPr>
        <w:spacing w:after="0" w:line="199" w:lineRule="exact"/>
        <w:rPr>
          <w:rFonts w:ascii="Arial" w:cs="Arial" w:eastAsia="Arial" w:hAnsi="Arial"/>
          <w:sz w:val="16"/>
          <w:szCs w:val="16"/>
          <w:color w:val="3E474E"/>
        </w:rPr>
      </w:pPr>
    </w:p>
    <w:p>
      <w:pPr>
        <w:ind w:left="7" w:right="60" w:hanging="7"/>
        <w:spacing w:after="0" w:line="275" w:lineRule="auto"/>
        <w:tabs>
          <w:tab w:leader="none" w:pos="108" w:val="left"/>
        </w:tabs>
        <w:numPr>
          <w:ilvl w:val="0"/>
          <w:numId w:val="53"/>
        </w:numPr>
        <w:rPr>
          <w:rFonts w:ascii="Arial" w:cs="Arial" w:eastAsia="Arial" w:hAnsi="Arial"/>
          <w:sz w:val="16"/>
          <w:szCs w:val="16"/>
          <w:color w:val="3E474E"/>
        </w:rPr>
      </w:pPr>
      <w:r>
        <w:rPr>
          <w:rFonts w:ascii="Arial" w:cs="Arial" w:eastAsia="Arial" w:hAnsi="Arial"/>
          <w:sz w:val="16"/>
          <w:szCs w:val="16"/>
          <w:color w:val="3E474E"/>
        </w:rPr>
        <w:t>His experience optimizing asset performance and executing value-driven investments enhances the Board’s oversight of financial performance and capital efficiency. Mr. Wimbush qualifies as an SEC Audit Committee Financial Expert.</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6"/>
          <w:szCs w:val="16"/>
          <w:color w:val="3E474E"/>
        </w:rPr>
        <w:t>Career Highlights</w:t>
      </w:r>
    </w:p>
    <w:p>
      <w:pPr>
        <w:spacing w:after="0" w:line="31" w:lineRule="exact"/>
        <w:rPr>
          <w:sz w:val="20"/>
          <w:szCs w:val="20"/>
          <w:color w:val="auto"/>
        </w:rPr>
      </w:pPr>
    </w:p>
    <w:p>
      <w:pPr>
        <w:ind w:left="7"/>
        <w:spacing w:after="0"/>
        <w:rPr>
          <w:sz w:val="20"/>
          <w:szCs w:val="20"/>
          <w:color w:val="auto"/>
        </w:rPr>
      </w:pPr>
      <w:r>
        <w:rPr>
          <w:rFonts w:ascii="Arial" w:cs="Arial" w:eastAsia="Arial" w:hAnsi="Arial"/>
          <w:sz w:val="16"/>
          <w:szCs w:val="16"/>
          <w:color w:val="3E474E"/>
        </w:rPr>
        <w:t>Norfolk Southern Corporation (NYSE: NSC) – a premier U.S. transportation company and railroad operator</w:t>
      </w:r>
    </w:p>
    <w:p>
      <w:pPr>
        <w:spacing w:after="0" w:line="9" w:lineRule="exact"/>
        <w:rPr>
          <w:sz w:val="20"/>
          <w:szCs w:val="20"/>
          <w:color w:val="auto"/>
        </w:rPr>
      </w:pPr>
    </w:p>
    <w:p>
      <w:pPr>
        <w:ind w:left="107" w:hanging="107"/>
        <w:spacing w:after="0"/>
        <w:tabs>
          <w:tab w:leader="none" w:pos="107" w:val="left"/>
        </w:tabs>
        <w:numPr>
          <w:ilvl w:val="0"/>
          <w:numId w:val="54"/>
        </w:numPr>
        <w:rPr>
          <w:rFonts w:ascii="Arial" w:cs="Arial" w:eastAsia="Arial" w:hAnsi="Arial"/>
          <w:sz w:val="16"/>
          <w:szCs w:val="16"/>
          <w:color w:val="3E474E"/>
        </w:rPr>
      </w:pPr>
      <w:r>
        <w:rPr>
          <w:rFonts w:ascii="Arial" w:cs="Arial" w:eastAsia="Arial" w:hAnsi="Arial"/>
          <w:sz w:val="16"/>
          <w:szCs w:val="16"/>
          <w:color w:val="3E474E"/>
        </w:rPr>
        <w:t>Chief Real Estate Officer and Corporate Sustainability Officer (2007-2015)</w:t>
      </w:r>
    </w:p>
    <w:p>
      <w:pPr>
        <w:spacing w:after="0" w:line="5" w:lineRule="exact"/>
        <w:rPr>
          <w:rFonts w:ascii="Arial" w:cs="Arial" w:eastAsia="Arial" w:hAnsi="Arial"/>
          <w:sz w:val="16"/>
          <w:szCs w:val="16"/>
          <w:color w:val="3E474E"/>
        </w:rPr>
      </w:pPr>
    </w:p>
    <w:p>
      <w:pPr>
        <w:ind w:left="107" w:hanging="107"/>
        <w:spacing w:after="0"/>
        <w:tabs>
          <w:tab w:leader="none" w:pos="107" w:val="left"/>
        </w:tabs>
        <w:numPr>
          <w:ilvl w:val="0"/>
          <w:numId w:val="54"/>
        </w:numPr>
        <w:rPr>
          <w:rFonts w:ascii="Arial" w:cs="Arial" w:eastAsia="Arial" w:hAnsi="Arial"/>
          <w:sz w:val="16"/>
          <w:szCs w:val="16"/>
          <w:color w:val="3E474E"/>
        </w:rPr>
      </w:pPr>
      <w:r>
        <w:rPr>
          <w:rFonts w:ascii="Arial" w:cs="Arial" w:eastAsia="Arial" w:hAnsi="Arial"/>
          <w:sz w:val="16"/>
          <w:szCs w:val="16"/>
          <w:color w:val="3E474E"/>
        </w:rPr>
        <w:t>Vice President, Real Estate (2004-2007)</w:t>
      </w:r>
    </w:p>
    <w:p>
      <w:pPr>
        <w:spacing w:after="0" w:line="14" w:lineRule="exact"/>
        <w:rPr>
          <w:rFonts w:ascii="Arial" w:cs="Arial" w:eastAsia="Arial" w:hAnsi="Arial"/>
          <w:sz w:val="16"/>
          <w:szCs w:val="16"/>
          <w:color w:val="3E474E"/>
        </w:rPr>
      </w:pPr>
    </w:p>
    <w:p>
      <w:pPr>
        <w:ind w:left="107" w:hanging="107"/>
        <w:spacing w:after="0"/>
        <w:tabs>
          <w:tab w:leader="none" w:pos="107" w:val="left"/>
        </w:tabs>
        <w:numPr>
          <w:ilvl w:val="0"/>
          <w:numId w:val="54"/>
        </w:numPr>
        <w:rPr>
          <w:rFonts w:ascii="Arial" w:cs="Arial" w:eastAsia="Arial" w:hAnsi="Arial"/>
          <w:sz w:val="16"/>
          <w:szCs w:val="16"/>
          <w:color w:val="3E474E"/>
        </w:rPr>
      </w:pPr>
      <w:r>
        <w:rPr>
          <w:rFonts w:ascii="Arial" w:cs="Arial" w:eastAsia="Arial" w:hAnsi="Arial"/>
          <w:sz w:val="16"/>
          <w:szCs w:val="16"/>
          <w:color w:val="3E474E"/>
        </w:rPr>
        <w:t>Senior General Counsel (2002-2004)</w:t>
      </w:r>
    </w:p>
    <w:p>
      <w:pPr>
        <w:spacing w:after="0" w:line="8" w:lineRule="exact"/>
        <w:rPr>
          <w:rFonts w:ascii="Arial" w:cs="Arial" w:eastAsia="Arial" w:hAnsi="Arial"/>
          <w:sz w:val="16"/>
          <w:szCs w:val="16"/>
          <w:color w:val="3E474E"/>
        </w:rPr>
      </w:pPr>
    </w:p>
    <w:p>
      <w:pPr>
        <w:ind w:left="107" w:hanging="107"/>
        <w:spacing w:after="0"/>
        <w:tabs>
          <w:tab w:leader="none" w:pos="107" w:val="left"/>
        </w:tabs>
        <w:numPr>
          <w:ilvl w:val="0"/>
          <w:numId w:val="54"/>
        </w:numPr>
        <w:rPr>
          <w:rFonts w:ascii="Arial" w:cs="Arial" w:eastAsia="Arial" w:hAnsi="Arial"/>
          <w:sz w:val="16"/>
          <w:szCs w:val="16"/>
          <w:color w:val="3E474E"/>
        </w:rPr>
      </w:pPr>
      <w:r>
        <w:rPr>
          <w:rFonts w:ascii="Arial" w:cs="Arial" w:eastAsia="Arial" w:hAnsi="Arial"/>
          <w:sz w:val="16"/>
          <w:szCs w:val="16"/>
          <w:color w:val="3E474E"/>
        </w:rPr>
        <w:t>General Counsel, Operations and other legal positions of increasing responsibility (1980-2002)</w:t>
      </w:r>
    </w:p>
    <w:p>
      <w:pPr>
        <w:spacing w:after="0" w:line="1152" w:lineRule="exact"/>
        <w:rPr>
          <w:sz w:val="20"/>
          <w:szCs w:val="20"/>
          <w:color w:val="auto"/>
        </w:rPr>
      </w:pPr>
    </w:p>
    <w:p>
      <w:pPr>
        <w:sectPr>
          <w:pgSz w:w="11900" w:h="16838" w:orient="portrait"/>
          <w:cols w:equalWidth="0" w:num="2">
            <w:col w:w="2420" w:space="373"/>
            <w:col w:w="8447"/>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18</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747C83"/>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735330</wp:posOffset>
            </wp:positionV>
            <wp:extent cx="7174865" cy="67036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670369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1478A3"/>
        </w:rPr>
        <w:t>Lori B. Wittman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Director Since: 2026</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Age: 67</w:t>
      </w:r>
    </w:p>
    <w:p>
      <w:pPr>
        <w:spacing w:after="0" w:line="316" w:lineRule="exact"/>
        <w:rPr>
          <w:sz w:val="20"/>
          <w:szCs w:val="20"/>
          <w:color w:val="auto"/>
        </w:rPr>
      </w:pPr>
    </w:p>
    <w:p>
      <w:pPr>
        <w:ind w:left="20" w:right="260"/>
        <w:spacing w:after="0" w:line="286" w:lineRule="auto"/>
        <w:rPr>
          <w:sz w:val="20"/>
          <w:szCs w:val="20"/>
          <w:color w:val="auto"/>
        </w:rPr>
      </w:pPr>
      <w:r>
        <w:rPr>
          <w:rFonts w:ascii="Arial" w:cs="Arial" w:eastAsia="Arial" w:hAnsi="Arial"/>
          <w:sz w:val="16"/>
          <w:szCs w:val="16"/>
          <w:color w:val="3E474E"/>
        </w:rPr>
        <w:t>Other Company Directorships (past 5 years):</w:t>
      </w:r>
    </w:p>
    <w:p>
      <w:pPr>
        <w:spacing w:after="0" w:line="7" w:lineRule="exact"/>
        <w:rPr>
          <w:sz w:val="20"/>
          <w:szCs w:val="20"/>
          <w:color w:val="auto"/>
        </w:rPr>
      </w:pPr>
    </w:p>
    <w:p>
      <w:pPr>
        <w:ind w:left="20" w:right="400" w:firstLine="6"/>
        <w:spacing w:after="0" w:line="256" w:lineRule="auto"/>
        <w:tabs>
          <w:tab w:leader="none" w:pos="122" w:val="left"/>
        </w:tabs>
        <w:numPr>
          <w:ilvl w:val="0"/>
          <w:numId w:val="55"/>
        </w:numPr>
        <w:rPr>
          <w:rFonts w:ascii="Arial" w:cs="Arial" w:eastAsia="Arial" w:hAnsi="Arial"/>
          <w:sz w:val="16"/>
          <w:szCs w:val="16"/>
          <w:color w:val="3E474E"/>
        </w:rPr>
      </w:pPr>
      <w:r>
        <w:rPr>
          <w:rFonts w:ascii="Arial" w:cs="Arial" w:eastAsia="Arial" w:hAnsi="Arial"/>
          <w:sz w:val="16"/>
          <w:szCs w:val="16"/>
          <w:color w:val="3E474E"/>
        </w:rPr>
        <w:t>NetSTREIT Corporation (NYSE: NTST) (since 2020)</w:t>
      </w:r>
    </w:p>
    <w:p>
      <w:pPr>
        <w:spacing w:after="0" w:line="1" w:lineRule="exact"/>
        <w:rPr>
          <w:rFonts w:ascii="Arial" w:cs="Arial" w:eastAsia="Arial" w:hAnsi="Arial"/>
          <w:sz w:val="16"/>
          <w:szCs w:val="16"/>
          <w:color w:val="3E474E"/>
        </w:rPr>
      </w:pPr>
    </w:p>
    <w:p>
      <w:pPr>
        <w:ind w:left="20" w:firstLine="6"/>
        <w:spacing w:after="0" w:line="264" w:lineRule="auto"/>
        <w:tabs>
          <w:tab w:leader="none" w:pos="122" w:val="left"/>
        </w:tabs>
        <w:numPr>
          <w:ilvl w:val="0"/>
          <w:numId w:val="55"/>
        </w:numPr>
        <w:rPr>
          <w:rFonts w:ascii="Arial" w:cs="Arial" w:eastAsia="Arial" w:hAnsi="Arial"/>
          <w:sz w:val="16"/>
          <w:szCs w:val="16"/>
          <w:color w:val="3E474E"/>
        </w:rPr>
      </w:pPr>
      <w:r>
        <w:rPr>
          <w:rFonts w:ascii="Arial" w:cs="Arial" w:eastAsia="Arial" w:hAnsi="Arial"/>
          <w:sz w:val="16"/>
          <w:szCs w:val="16"/>
          <w:color w:val="3E474E"/>
        </w:rPr>
        <w:t>Chiron Real Estate, Inc. (NYSE: XRN) (since 2018; formerly Global Medical Reit, Inc. (NYSE: GMRE))</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Education:</w:t>
      </w:r>
    </w:p>
    <w:p>
      <w:pPr>
        <w:spacing w:after="0" w:line="59" w:lineRule="exact"/>
        <w:rPr>
          <w:sz w:val="20"/>
          <w:szCs w:val="20"/>
          <w:color w:val="auto"/>
        </w:rPr>
      </w:pPr>
    </w:p>
    <w:p>
      <w:pPr>
        <w:ind w:left="20" w:firstLine="6"/>
        <w:spacing w:after="0" w:line="265" w:lineRule="auto"/>
        <w:tabs>
          <w:tab w:leader="none" w:pos="122" w:val="left"/>
        </w:tabs>
        <w:numPr>
          <w:ilvl w:val="0"/>
          <w:numId w:val="56"/>
        </w:numPr>
        <w:rPr>
          <w:rFonts w:ascii="Arial" w:cs="Arial" w:eastAsia="Arial" w:hAnsi="Arial"/>
          <w:sz w:val="16"/>
          <w:szCs w:val="16"/>
          <w:color w:val="3E474E"/>
        </w:rPr>
      </w:pPr>
      <w:r>
        <w:rPr>
          <w:rFonts w:ascii="Arial" w:cs="Arial" w:eastAsia="Arial" w:hAnsi="Arial"/>
          <w:sz w:val="16"/>
          <w:szCs w:val="16"/>
          <w:color w:val="3E474E"/>
        </w:rPr>
        <w:t>B.A., Geography and Sociology, Clark University</w:t>
      </w:r>
    </w:p>
    <w:p>
      <w:pPr>
        <w:spacing w:after="0" w:line="1" w:lineRule="exact"/>
        <w:rPr>
          <w:rFonts w:ascii="Arial" w:cs="Arial" w:eastAsia="Arial" w:hAnsi="Arial"/>
          <w:sz w:val="16"/>
          <w:szCs w:val="16"/>
          <w:color w:val="3E474E"/>
        </w:rPr>
      </w:pPr>
    </w:p>
    <w:p>
      <w:pPr>
        <w:ind w:left="20" w:right="60" w:firstLine="6"/>
        <w:spacing w:after="0" w:line="252" w:lineRule="auto"/>
        <w:tabs>
          <w:tab w:leader="none" w:pos="122" w:val="left"/>
        </w:tabs>
        <w:numPr>
          <w:ilvl w:val="0"/>
          <w:numId w:val="56"/>
        </w:numPr>
        <w:rPr>
          <w:rFonts w:ascii="Arial" w:cs="Arial" w:eastAsia="Arial" w:hAnsi="Arial"/>
          <w:sz w:val="16"/>
          <w:szCs w:val="16"/>
          <w:color w:val="3E474E"/>
        </w:rPr>
      </w:pPr>
      <w:r>
        <w:rPr>
          <w:rFonts w:ascii="Arial" w:cs="Arial" w:eastAsia="Arial" w:hAnsi="Arial"/>
          <w:sz w:val="16"/>
          <w:szCs w:val="16"/>
          <w:color w:val="3E474E"/>
        </w:rPr>
        <w:t>MBA, Finance and Accounting, University of Chicago</w:t>
      </w:r>
    </w:p>
    <w:p>
      <w:pPr>
        <w:spacing w:after="0" w:line="1" w:lineRule="exact"/>
        <w:rPr>
          <w:rFonts w:ascii="Arial" w:cs="Arial" w:eastAsia="Arial" w:hAnsi="Arial"/>
          <w:sz w:val="16"/>
          <w:szCs w:val="16"/>
          <w:color w:val="3E474E"/>
        </w:rPr>
      </w:pPr>
    </w:p>
    <w:p>
      <w:pPr>
        <w:ind w:left="20" w:right="240" w:firstLine="6"/>
        <w:spacing w:after="0" w:line="267" w:lineRule="auto"/>
        <w:tabs>
          <w:tab w:leader="none" w:pos="122" w:val="left"/>
        </w:tabs>
        <w:numPr>
          <w:ilvl w:val="0"/>
          <w:numId w:val="56"/>
        </w:numPr>
        <w:rPr>
          <w:rFonts w:ascii="Arial" w:cs="Arial" w:eastAsia="Arial" w:hAnsi="Arial"/>
          <w:sz w:val="16"/>
          <w:szCs w:val="16"/>
          <w:color w:val="3E474E"/>
        </w:rPr>
      </w:pPr>
      <w:r>
        <w:rPr>
          <w:rFonts w:ascii="Arial" w:cs="Arial" w:eastAsia="Arial" w:hAnsi="Arial"/>
          <w:sz w:val="16"/>
          <w:szCs w:val="16"/>
          <w:color w:val="3E474E"/>
        </w:rPr>
        <w:t>M.A., City Planning, Housing and Real Estate Finance, University of Pennsylvania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1478A3"/>
        </w:rPr>
        <w:t>Independent Director</w:t>
      </w:r>
    </w:p>
    <w:p>
      <w:pPr>
        <w:spacing w:after="0" w:line="342" w:lineRule="exact"/>
        <w:rPr>
          <w:sz w:val="20"/>
          <w:szCs w:val="20"/>
          <w:color w:val="auto"/>
        </w:rPr>
      </w:pPr>
    </w:p>
    <w:p>
      <w:pPr>
        <w:ind w:left="7"/>
        <w:spacing w:after="0"/>
        <w:rPr>
          <w:sz w:val="20"/>
          <w:szCs w:val="20"/>
          <w:color w:val="auto"/>
        </w:rPr>
      </w:pPr>
      <w:r>
        <w:rPr>
          <w:rFonts w:ascii="Arial" w:cs="Arial" w:eastAsia="Arial" w:hAnsi="Arial"/>
          <w:sz w:val="16"/>
          <w:szCs w:val="16"/>
          <w:color w:val="3E474E"/>
        </w:rPr>
        <w:t>Reasons for Nomination</w:t>
      </w:r>
    </w:p>
    <w:p>
      <w:pPr>
        <w:spacing w:after="0" w:line="21" w:lineRule="exact"/>
        <w:rPr>
          <w:sz w:val="20"/>
          <w:szCs w:val="20"/>
          <w:color w:val="auto"/>
        </w:rPr>
      </w:pPr>
    </w:p>
    <w:p>
      <w:pPr>
        <w:ind w:left="7" w:right="200"/>
        <w:spacing w:after="0" w:line="264" w:lineRule="auto"/>
        <w:rPr>
          <w:sz w:val="20"/>
          <w:szCs w:val="20"/>
          <w:color w:val="auto"/>
        </w:rPr>
      </w:pPr>
      <w:r>
        <w:rPr>
          <w:rFonts w:ascii="Arial" w:cs="Arial" w:eastAsia="Arial" w:hAnsi="Arial"/>
          <w:sz w:val="16"/>
          <w:szCs w:val="16"/>
          <w:color w:val="3E474E"/>
        </w:rPr>
        <w:t>Lori Wittman brings extensive financial leadership and capital markets expertise to the Board across the real estate industry. Her background includes overseeing complex transactions, capital formation initiatives, and financial operations across both public and private real estate platforms. This experience provides the Board with a well-informed perspective on financial oversight and disciplined growth.</w:t>
      </w:r>
    </w:p>
    <w:p>
      <w:pPr>
        <w:spacing w:after="0" w:line="200" w:lineRule="exact"/>
        <w:rPr>
          <w:sz w:val="20"/>
          <w:szCs w:val="20"/>
          <w:color w:val="auto"/>
        </w:rPr>
      </w:pPr>
    </w:p>
    <w:p>
      <w:pPr>
        <w:ind w:left="7"/>
        <w:spacing w:after="0" w:line="197" w:lineRule="exact"/>
        <w:rPr>
          <w:sz w:val="20"/>
          <w:szCs w:val="20"/>
          <w:color w:val="auto"/>
        </w:rPr>
      </w:pPr>
      <w:r>
        <w:rPr>
          <w:rFonts w:ascii="Arial" w:cs="Arial" w:eastAsia="Arial" w:hAnsi="Arial"/>
          <w:sz w:val="16"/>
          <w:szCs w:val="16"/>
          <w:color w:val="3E474E"/>
        </w:rPr>
        <w:t>Lori Wittman’s experience is especially relevant to AH Realty Trust as the Company pursues growth while maintaining strong financial discipline across its portfolio, informed by her extensive work with publicly traded REITs. Her background enables the Board to rigorously evaluate capital allocation decisions, REIT</w:t>
      </w:r>
      <w:r>
        <w:rPr>
          <w:rFonts w:ascii="MS PGothic" w:cs="MS PGothic" w:eastAsia="MS PGothic" w:hAnsi="MS PGothic"/>
          <w:sz w:val="16"/>
          <w:szCs w:val="16"/>
          <w:color w:val="3E474E"/>
        </w:rPr>
        <w:t>‑</w:t>
      </w:r>
      <w:r>
        <w:rPr>
          <w:rFonts w:ascii="Arial" w:cs="Arial" w:eastAsia="Arial" w:hAnsi="Arial"/>
          <w:sz w:val="16"/>
          <w:szCs w:val="16"/>
          <w:color w:val="3E474E"/>
        </w:rPr>
        <w:t>specific financing strategies, and investment returns, while ensuring appropriate risk management, regulatory awareness, and transparency. Ms. Wittman’s hands</w:t>
      </w:r>
      <w:r>
        <w:rPr>
          <w:rFonts w:ascii="MS PGothic" w:cs="MS PGothic" w:eastAsia="MS PGothic" w:hAnsi="MS PGothic"/>
          <w:sz w:val="16"/>
          <w:szCs w:val="16"/>
          <w:color w:val="3E474E"/>
        </w:rPr>
        <w:t>‑</w:t>
      </w:r>
      <w:r>
        <w:rPr>
          <w:rFonts w:ascii="Arial" w:cs="Arial" w:eastAsia="Arial" w:hAnsi="Arial"/>
          <w:sz w:val="16"/>
          <w:szCs w:val="16"/>
          <w:color w:val="3E474E"/>
        </w:rPr>
        <w:t>on leadership in REIT financial operations and capital markets strengthens the Board’s ability to oversee scalable growth, navigate market cycles, and align financial strategy with long</w:t>
      </w:r>
      <w:r>
        <w:rPr>
          <w:rFonts w:ascii="MS PGothic" w:cs="MS PGothic" w:eastAsia="MS PGothic" w:hAnsi="MS PGothic"/>
          <w:sz w:val="16"/>
          <w:szCs w:val="16"/>
          <w:color w:val="3E474E"/>
        </w:rPr>
        <w:t>‑</w:t>
      </w:r>
      <w:r>
        <w:rPr>
          <w:rFonts w:ascii="Arial" w:cs="Arial" w:eastAsia="Arial" w:hAnsi="Arial"/>
          <w:sz w:val="16"/>
          <w:szCs w:val="16"/>
          <w:color w:val="3E474E"/>
        </w:rPr>
        <w:t>term shareholder value creation.</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16"/>
          <w:szCs w:val="16"/>
          <w:color w:val="3E474E"/>
        </w:rPr>
        <w:t>Key Skills and Expertise</w:t>
      </w:r>
    </w:p>
    <w:p>
      <w:pPr>
        <w:spacing w:after="0" w:line="21" w:lineRule="exact"/>
        <w:rPr>
          <w:sz w:val="20"/>
          <w:szCs w:val="20"/>
          <w:color w:val="auto"/>
        </w:rPr>
      </w:pPr>
    </w:p>
    <w:p>
      <w:pPr>
        <w:ind w:left="7" w:right="120" w:hanging="7"/>
        <w:spacing w:after="0" w:line="264" w:lineRule="auto"/>
        <w:tabs>
          <w:tab w:leader="none" w:pos="108" w:val="left"/>
        </w:tabs>
        <w:numPr>
          <w:ilvl w:val="0"/>
          <w:numId w:val="57"/>
        </w:numPr>
        <w:rPr>
          <w:rFonts w:ascii="Arial" w:cs="Arial" w:eastAsia="Arial" w:hAnsi="Arial"/>
          <w:sz w:val="16"/>
          <w:szCs w:val="16"/>
          <w:color w:val="3E474E"/>
        </w:rPr>
      </w:pPr>
      <w:r>
        <w:rPr>
          <w:rFonts w:ascii="Arial" w:cs="Arial" w:eastAsia="Arial" w:hAnsi="Arial"/>
          <w:sz w:val="16"/>
          <w:szCs w:val="16"/>
          <w:color w:val="3E474E"/>
        </w:rPr>
        <w:t>As a Chief Financial Officer with experience across multiple REITs, including her current role at Aventine Property Group, Ms. Wittman has overseen financial planning and analysis, capital allocation strategy, reporting, and balance sheet management, driving effective portfolio management.</w:t>
      </w:r>
    </w:p>
    <w:p>
      <w:pPr>
        <w:spacing w:after="0" w:line="200" w:lineRule="exact"/>
        <w:rPr>
          <w:rFonts w:ascii="Arial" w:cs="Arial" w:eastAsia="Arial" w:hAnsi="Arial"/>
          <w:sz w:val="16"/>
          <w:szCs w:val="16"/>
          <w:color w:val="3E474E"/>
        </w:rPr>
      </w:pPr>
    </w:p>
    <w:p>
      <w:pPr>
        <w:ind w:left="7" w:right="440" w:hanging="7"/>
        <w:spacing w:after="0" w:line="275" w:lineRule="auto"/>
        <w:tabs>
          <w:tab w:leader="none" w:pos="108" w:val="left"/>
        </w:tabs>
        <w:numPr>
          <w:ilvl w:val="0"/>
          <w:numId w:val="57"/>
        </w:numPr>
        <w:rPr>
          <w:rFonts w:ascii="Arial" w:cs="Arial" w:eastAsia="Arial" w:hAnsi="Arial"/>
          <w:sz w:val="16"/>
          <w:szCs w:val="16"/>
          <w:color w:val="3E474E"/>
        </w:rPr>
      </w:pPr>
      <w:r>
        <w:rPr>
          <w:rFonts w:ascii="Arial" w:cs="Arial" w:eastAsia="Arial" w:hAnsi="Arial"/>
          <w:sz w:val="16"/>
          <w:szCs w:val="16"/>
          <w:color w:val="3E474E"/>
        </w:rPr>
        <w:t>Ms. Wittman brings significant experience executing strategic transactions and joint ventures to drive growth initiatives. She played a key role in the initial public offering of Big Rock Partners Acquisition Corporation and its subsequent business combination with NeuroRx, Inc. to form NRx Pharmaceuticals in 2021.</w:t>
      </w:r>
    </w:p>
    <w:p>
      <w:pPr>
        <w:spacing w:after="0" w:line="191" w:lineRule="exact"/>
        <w:rPr>
          <w:rFonts w:ascii="Arial" w:cs="Arial" w:eastAsia="Arial" w:hAnsi="Arial"/>
          <w:sz w:val="16"/>
          <w:szCs w:val="16"/>
          <w:color w:val="3E474E"/>
        </w:rPr>
      </w:pPr>
    </w:p>
    <w:p>
      <w:pPr>
        <w:ind w:left="7" w:hanging="7"/>
        <w:spacing w:after="0" w:line="265" w:lineRule="auto"/>
        <w:tabs>
          <w:tab w:leader="none" w:pos="108" w:val="left"/>
        </w:tabs>
        <w:numPr>
          <w:ilvl w:val="0"/>
          <w:numId w:val="57"/>
        </w:numPr>
        <w:rPr>
          <w:rFonts w:ascii="Arial" w:cs="Arial" w:eastAsia="Arial" w:hAnsi="Arial"/>
          <w:sz w:val="16"/>
          <w:szCs w:val="16"/>
          <w:color w:val="3E474E"/>
        </w:rPr>
      </w:pPr>
      <w:r>
        <w:rPr>
          <w:rFonts w:ascii="Arial" w:cs="Arial" w:eastAsia="Arial" w:hAnsi="Arial"/>
          <w:sz w:val="16"/>
          <w:szCs w:val="16"/>
          <w:color w:val="3E474E"/>
        </w:rPr>
        <w:t>During her service at Ventas, Inc., she supported the establishment of approximately $1.4 billion of initial debt capitalization and was instrumental in the execution of the successful spin-off of Care Capital Properties. Having assumed the role of Chief Financial Officer at Care Capital Properties, she created a strong foundation for growth as an independent company, raising more than $11 billion across unsecured bonds, equity, credit facilities, and mortgage financing.</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6"/>
          <w:szCs w:val="16"/>
          <w:color w:val="3E474E"/>
        </w:rPr>
        <w:t>Career Highlights</w:t>
      </w:r>
    </w:p>
    <w:p>
      <w:pPr>
        <w:spacing w:after="0" w:line="31" w:lineRule="exact"/>
        <w:rPr>
          <w:sz w:val="20"/>
          <w:szCs w:val="20"/>
          <w:color w:val="auto"/>
        </w:rPr>
      </w:pPr>
    </w:p>
    <w:p>
      <w:pPr>
        <w:ind w:left="7"/>
        <w:spacing w:after="0"/>
        <w:rPr>
          <w:sz w:val="20"/>
          <w:szCs w:val="20"/>
          <w:color w:val="auto"/>
        </w:rPr>
      </w:pPr>
      <w:r>
        <w:rPr>
          <w:rFonts w:ascii="Arial" w:cs="Arial" w:eastAsia="Arial" w:hAnsi="Arial"/>
          <w:sz w:val="16"/>
          <w:szCs w:val="16"/>
          <w:color w:val="3E474E"/>
        </w:rPr>
        <w:t>Aventine Property Group – a privately held REIT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6"/>
          <w:szCs w:val="16"/>
          <w:color w:val="3E474E"/>
        </w:rPr>
        <w:t>• Executive Vice President and Chief Financial Officer (since 2023)</w:t>
      </w:r>
    </w:p>
    <w:p>
      <w:pPr>
        <w:spacing w:after="0" w:line="246" w:lineRule="exact"/>
        <w:rPr>
          <w:sz w:val="20"/>
          <w:szCs w:val="20"/>
          <w:color w:val="auto"/>
        </w:rPr>
      </w:pPr>
    </w:p>
    <w:p>
      <w:pPr>
        <w:ind w:left="7" w:right="1020"/>
        <w:spacing w:after="0" w:line="286" w:lineRule="auto"/>
        <w:rPr>
          <w:sz w:val="20"/>
          <w:szCs w:val="20"/>
          <w:color w:val="auto"/>
        </w:rPr>
      </w:pPr>
      <w:r>
        <w:rPr>
          <w:rFonts w:ascii="Arial" w:cs="Arial" w:eastAsia="Arial" w:hAnsi="Arial"/>
          <w:sz w:val="16"/>
          <w:szCs w:val="16"/>
          <w:color w:val="3E474E"/>
        </w:rPr>
        <w:t>NetSTREIT Corporation (NYSE: NTST) – a REIT specializing in single-tenant net lease retail properties • Interim Chief Financial Officer (2022-2023)</w:t>
      </w:r>
    </w:p>
    <w:p>
      <w:pPr>
        <w:spacing w:after="0" w:line="183" w:lineRule="exact"/>
        <w:rPr>
          <w:sz w:val="20"/>
          <w:szCs w:val="20"/>
          <w:color w:val="auto"/>
        </w:rPr>
      </w:pPr>
    </w:p>
    <w:p>
      <w:pPr>
        <w:ind w:left="7" w:right="20"/>
        <w:spacing w:after="0" w:line="265" w:lineRule="auto"/>
        <w:rPr>
          <w:sz w:val="20"/>
          <w:szCs w:val="20"/>
          <w:color w:val="auto"/>
        </w:rPr>
      </w:pPr>
      <w:r>
        <w:rPr>
          <w:rFonts w:ascii="Arial" w:cs="Arial" w:eastAsia="Arial" w:hAnsi="Arial"/>
          <w:sz w:val="16"/>
          <w:szCs w:val="16"/>
          <w:color w:val="3E474E"/>
        </w:rPr>
        <w:t>Big Rock Partners Acquisition Corporation (former Nasdaq: BRPA) – a Special Purpose Acquisition Company (SPAC) that merged with NeuroRx, Inc. in 2021</w:t>
      </w:r>
    </w:p>
    <w:p>
      <w:pPr>
        <w:spacing w:after="0" w:line="1" w:lineRule="exact"/>
        <w:rPr>
          <w:sz w:val="20"/>
          <w:szCs w:val="20"/>
          <w:color w:val="auto"/>
        </w:rPr>
      </w:pPr>
    </w:p>
    <w:p>
      <w:pPr>
        <w:ind w:left="107" w:hanging="107"/>
        <w:spacing w:after="0"/>
        <w:tabs>
          <w:tab w:leader="none" w:pos="107" w:val="left"/>
        </w:tabs>
        <w:numPr>
          <w:ilvl w:val="0"/>
          <w:numId w:val="58"/>
        </w:numPr>
        <w:rPr>
          <w:rFonts w:ascii="Arial" w:cs="Arial" w:eastAsia="Arial" w:hAnsi="Arial"/>
          <w:sz w:val="16"/>
          <w:szCs w:val="16"/>
          <w:color w:val="3E474E"/>
        </w:rPr>
      </w:pPr>
      <w:r>
        <w:rPr>
          <w:rFonts w:ascii="Arial" w:cs="Arial" w:eastAsia="Arial" w:hAnsi="Arial"/>
          <w:sz w:val="16"/>
          <w:szCs w:val="16"/>
          <w:color w:val="3E474E"/>
        </w:rPr>
        <w:t>Senior Advisor (2020-2021)</w:t>
      </w:r>
    </w:p>
    <w:p>
      <w:pPr>
        <w:spacing w:after="0" w:line="14" w:lineRule="exact"/>
        <w:rPr>
          <w:rFonts w:ascii="Arial" w:cs="Arial" w:eastAsia="Arial" w:hAnsi="Arial"/>
          <w:sz w:val="16"/>
          <w:szCs w:val="16"/>
          <w:color w:val="3E474E"/>
        </w:rPr>
      </w:pPr>
    </w:p>
    <w:p>
      <w:pPr>
        <w:ind w:left="107" w:hanging="107"/>
        <w:spacing w:after="0"/>
        <w:tabs>
          <w:tab w:leader="none" w:pos="107" w:val="left"/>
        </w:tabs>
        <w:numPr>
          <w:ilvl w:val="0"/>
          <w:numId w:val="58"/>
        </w:numPr>
        <w:rPr>
          <w:rFonts w:ascii="Arial" w:cs="Arial" w:eastAsia="Arial" w:hAnsi="Arial"/>
          <w:sz w:val="16"/>
          <w:szCs w:val="16"/>
          <w:color w:val="3E474E"/>
        </w:rPr>
      </w:pPr>
      <w:r>
        <w:rPr>
          <w:rFonts w:ascii="Arial" w:cs="Arial" w:eastAsia="Arial" w:hAnsi="Arial"/>
          <w:sz w:val="16"/>
          <w:szCs w:val="16"/>
          <w:color w:val="3E474E"/>
        </w:rPr>
        <w:t>Executive Vice President and Chief Financial Officer (2017-2020)</w:t>
      </w:r>
    </w:p>
    <w:p>
      <w:pPr>
        <w:spacing w:after="0" w:line="236" w:lineRule="exact"/>
        <w:rPr>
          <w:sz w:val="20"/>
          <w:szCs w:val="20"/>
          <w:color w:val="auto"/>
        </w:rPr>
      </w:pPr>
    </w:p>
    <w:p>
      <w:pPr>
        <w:ind w:left="7" w:right="2480"/>
        <w:spacing w:after="0" w:line="286" w:lineRule="auto"/>
        <w:rPr>
          <w:sz w:val="20"/>
          <w:szCs w:val="20"/>
          <w:color w:val="auto"/>
        </w:rPr>
      </w:pPr>
      <w:r>
        <w:rPr>
          <w:rFonts w:ascii="Arial" w:cs="Arial" w:eastAsia="Arial" w:hAnsi="Arial"/>
          <w:sz w:val="16"/>
          <w:szCs w:val="16"/>
          <w:color w:val="3E474E"/>
        </w:rPr>
        <w:t>Care Capital Properties (former NYSE: CCP) – a public real estate investment trust • Executive Vice President and Chief Financial Officer (2015-2017)</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6"/>
          <w:szCs w:val="16"/>
          <w:color w:val="3E474E"/>
        </w:rPr>
        <w:t>Ventas, Inc. (NYSE: VTR) – a healthcare REIT</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3E474E"/>
        </w:rPr>
        <w:t>• Senior Vice President, Capital Markets and Investor Relations (2011-2015)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1656715</wp:posOffset>
            </wp:positionV>
            <wp:extent cx="825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1656715</wp:posOffset>
            </wp:positionV>
            <wp:extent cx="825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373"/>
            <w:col w:w="8427"/>
          </w:cols>
          <w:pgMar w:left="320" w:top="14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19</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747C83"/>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1478A3"/>
        </w:rPr>
        <w:t>Vote Required and Recommendation</w:t>
      </w:r>
    </w:p>
    <w:p>
      <w:pPr>
        <w:spacing w:after="0" w:line="56"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3E474E"/>
        </w:rPr>
        <w:t>The affirmative vote of the holders of a majority of all the votes cast for or against a nominee at the Annual Meeting is necessary for the election of the nine director nominees. For purposes of the vote on this proposal, abstentions and broker non-votes will not be counted as votes cast and will have no effect on the result of the vote.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57AED5"/>
        </w:rPr>
        <w:t>OUR BOARD OF DIRECTORS RECOMMENDS A VOTE “FOR” EACH OF THE NOMINEES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20</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747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Corporate Governance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1478A3"/>
        </w:rPr>
        <w:t>Board Leadership Structure</w:t>
      </w:r>
    </w:p>
    <w:p>
      <w:pPr>
        <w:spacing w:after="0" w:line="50"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3E474E"/>
        </w:rPr>
        <w:t>In connection with Mr. Haddad's retirement as Chief Executive Officer, he was elected as Executive Chairman effective January 1, 2025. He held this position until December 31, 2025. Mr. Tibbetts was appointed Chairman of the Board effective January 1, 2026. Following Ms. Hardy’s retirement from the Board at the 2025 Annual Meeting of Stockholders, Mr. Carroll was elected to serve as Lead Independent Director.</w:t>
      </w:r>
    </w:p>
    <w:p>
      <w:pPr>
        <w:spacing w:after="0" w:line="21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3E474E"/>
        </w:rPr>
        <w:t>The Board believes that the combination of our Chief Executive Officer and Lead Independent Director provides clear leadership, effective oversight, and strong alignment in the development and execution of the Company’s corporate strategy.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LEAD INDEPENDENT DIRECTOR DUTIES AND RESPONSIBILITIES</w:t>
      </w:r>
    </w:p>
    <w:p>
      <w:pPr>
        <w:spacing w:after="0" w:line="113"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6"/>
          <w:szCs w:val="16"/>
          <w:color w:val="3E474E"/>
        </w:rPr>
      </w:pPr>
      <w:r>
        <w:rPr>
          <w:rFonts w:ascii="Arial" w:cs="Arial" w:eastAsia="Arial" w:hAnsi="Arial"/>
          <w:sz w:val="16"/>
          <w:szCs w:val="16"/>
          <w:color w:val="3E474E"/>
        </w:rPr>
        <w:t>Serving as liaison between the Chairman and the independent directors;</w:t>
      </w:r>
    </w:p>
    <w:p>
      <w:pPr>
        <w:spacing w:after="0" w:line="21" w:lineRule="exact"/>
        <w:rPr>
          <w:rFonts w:ascii="Arial" w:cs="Arial" w:eastAsia="Arial" w:hAnsi="Arial"/>
          <w:sz w:val="16"/>
          <w:szCs w:val="16"/>
          <w:color w:val="3E474E"/>
        </w:rPr>
      </w:pPr>
    </w:p>
    <w:p>
      <w:pPr>
        <w:ind w:left="180" w:hanging="172"/>
        <w:spacing w:after="0"/>
        <w:tabs>
          <w:tab w:leader="none" w:pos="180" w:val="left"/>
        </w:tabs>
        <w:numPr>
          <w:ilvl w:val="0"/>
          <w:numId w:val="59"/>
        </w:numPr>
        <w:rPr>
          <w:rFonts w:ascii="Arial" w:cs="Arial" w:eastAsia="Arial" w:hAnsi="Arial"/>
          <w:sz w:val="16"/>
          <w:szCs w:val="16"/>
          <w:color w:val="3E474E"/>
        </w:rPr>
      </w:pPr>
      <w:r>
        <w:rPr>
          <w:rFonts w:ascii="Arial" w:cs="Arial" w:eastAsia="Arial" w:hAnsi="Arial"/>
          <w:sz w:val="16"/>
          <w:szCs w:val="16"/>
          <w:color w:val="3E474E"/>
        </w:rPr>
        <w:t>Presiding at all Board meetings when Chairman is not present, including executive sessions of the independent directors;</w:t>
      </w:r>
    </w:p>
    <w:p>
      <w:pPr>
        <w:spacing w:after="0" w:line="14" w:lineRule="exact"/>
        <w:rPr>
          <w:rFonts w:ascii="Arial" w:cs="Arial" w:eastAsia="Arial" w:hAnsi="Arial"/>
          <w:sz w:val="16"/>
          <w:szCs w:val="16"/>
          <w:color w:val="3E474E"/>
        </w:rPr>
      </w:pPr>
    </w:p>
    <w:p>
      <w:pPr>
        <w:ind w:left="180" w:hanging="172"/>
        <w:spacing w:after="0"/>
        <w:tabs>
          <w:tab w:leader="none" w:pos="180" w:val="left"/>
        </w:tabs>
        <w:numPr>
          <w:ilvl w:val="0"/>
          <w:numId w:val="59"/>
        </w:numPr>
        <w:rPr>
          <w:rFonts w:ascii="Arial" w:cs="Arial" w:eastAsia="Arial" w:hAnsi="Arial"/>
          <w:sz w:val="16"/>
          <w:szCs w:val="16"/>
          <w:color w:val="3E474E"/>
        </w:rPr>
      </w:pPr>
      <w:r>
        <w:rPr>
          <w:rFonts w:ascii="Arial" w:cs="Arial" w:eastAsia="Arial" w:hAnsi="Arial"/>
          <w:sz w:val="16"/>
          <w:szCs w:val="16"/>
          <w:color w:val="3E474E"/>
        </w:rPr>
        <w:t>Approving materials sent to the Board and advising on such information;</w:t>
      </w:r>
    </w:p>
    <w:p>
      <w:pPr>
        <w:spacing w:after="0" w:line="8" w:lineRule="exact"/>
        <w:rPr>
          <w:rFonts w:ascii="Arial" w:cs="Arial" w:eastAsia="Arial" w:hAnsi="Arial"/>
          <w:sz w:val="16"/>
          <w:szCs w:val="16"/>
          <w:color w:val="3E474E"/>
        </w:rPr>
      </w:pPr>
    </w:p>
    <w:p>
      <w:pPr>
        <w:ind w:left="180" w:hanging="172"/>
        <w:spacing w:after="0"/>
        <w:tabs>
          <w:tab w:leader="none" w:pos="180" w:val="left"/>
        </w:tabs>
        <w:numPr>
          <w:ilvl w:val="0"/>
          <w:numId w:val="59"/>
        </w:numPr>
        <w:rPr>
          <w:rFonts w:ascii="Arial" w:cs="Arial" w:eastAsia="Arial" w:hAnsi="Arial"/>
          <w:sz w:val="16"/>
          <w:szCs w:val="16"/>
          <w:color w:val="3E474E"/>
        </w:rPr>
      </w:pPr>
      <w:r>
        <w:rPr>
          <w:rFonts w:ascii="Arial" w:cs="Arial" w:eastAsia="Arial" w:hAnsi="Arial"/>
          <w:sz w:val="16"/>
          <w:szCs w:val="16"/>
          <w:color w:val="3E474E"/>
        </w:rPr>
        <w:t>Approving meeting agendas for the Board and coordinating with the Chairman with respect to developing such agendas;</w:t>
      </w:r>
    </w:p>
    <w:p>
      <w:pPr>
        <w:spacing w:after="0" w:line="5" w:lineRule="exact"/>
        <w:rPr>
          <w:rFonts w:ascii="Arial" w:cs="Arial" w:eastAsia="Arial" w:hAnsi="Arial"/>
          <w:sz w:val="16"/>
          <w:szCs w:val="16"/>
          <w:color w:val="3E474E"/>
        </w:rPr>
      </w:pPr>
    </w:p>
    <w:p>
      <w:pPr>
        <w:ind w:left="180" w:hanging="172"/>
        <w:spacing w:after="0"/>
        <w:tabs>
          <w:tab w:leader="none" w:pos="180" w:val="left"/>
        </w:tabs>
        <w:numPr>
          <w:ilvl w:val="0"/>
          <w:numId w:val="59"/>
        </w:numPr>
        <w:rPr>
          <w:rFonts w:ascii="Arial" w:cs="Arial" w:eastAsia="Arial" w:hAnsi="Arial"/>
          <w:sz w:val="16"/>
          <w:szCs w:val="16"/>
          <w:color w:val="3E474E"/>
        </w:rPr>
      </w:pPr>
      <w:r>
        <w:rPr>
          <w:rFonts w:ascii="Arial" w:cs="Arial" w:eastAsia="Arial" w:hAnsi="Arial"/>
          <w:sz w:val="16"/>
          <w:szCs w:val="16"/>
          <w:color w:val="3E474E"/>
        </w:rPr>
        <w:t>Approving Board meeting schedules to assure sufficient agenda item discussion time and coordinating with the Chairman to develop such schedules;</w:t>
      </w:r>
    </w:p>
    <w:p>
      <w:pPr>
        <w:spacing w:after="0" w:line="14" w:lineRule="exact"/>
        <w:rPr>
          <w:rFonts w:ascii="Arial" w:cs="Arial" w:eastAsia="Arial" w:hAnsi="Arial"/>
          <w:sz w:val="16"/>
          <w:szCs w:val="16"/>
          <w:color w:val="3E474E"/>
        </w:rPr>
      </w:pPr>
    </w:p>
    <w:p>
      <w:pPr>
        <w:ind w:left="180" w:hanging="172"/>
        <w:spacing w:after="0"/>
        <w:tabs>
          <w:tab w:leader="none" w:pos="180" w:val="left"/>
        </w:tabs>
        <w:numPr>
          <w:ilvl w:val="0"/>
          <w:numId w:val="59"/>
        </w:numPr>
        <w:rPr>
          <w:rFonts w:ascii="Arial" w:cs="Arial" w:eastAsia="Arial" w:hAnsi="Arial"/>
          <w:sz w:val="16"/>
          <w:szCs w:val="16"/>
          <w:color w:val="3E474E"/>
        </w:rPr>
      </w:pPr>
      <w:r>
        <w:rPr>
          <w:rFonts w:ascii="Arial" w:cs="Arial" w:eastAsia="Arial" w:hAnsi="Arial"/>
          <w:sz w:val="16"/>
          <w:szCs w:val="16"/>
          <w:color w:val="3E474E"/>
        </w:rPr>
        <w:t>Calling meetings of the independent directors;</w:t>
      </w:r>
    </w:p>
    <w:p>
      <w:pPr>
        <w:spacing w:after="0" w:line="8" w:lineRule="exact"/>
        <w:rPr>
          <w:rFonts w:ascii="Arial" w:cs="Arial" w:eastAsia="Arial" w:hAnsi="Arial"/>
          <w:sz w:val="16"/>
          <w:szCs w:val="16"/>
          <w:color w:val="3E474E"/>
        </w:rPr>
      </w:pPr>
    </w:p>
    <w:p>
      <w:pPr>
        <w:ind w:left="180" w:hanging="172"/>
        <w:spacing w:after="0"/>
        <w:tabs>
          <w:tab w:leader="none" w:pos="180" w:val="left"/>
        </w:tabs>
        <w:numPr>
          <w:ilvl w:val="0"/>
          <w:numId w:val="59"/>
        </w:numPr>
        <w:rPr>
          <w:rFonts w:ascii="Arial" w:cs="Arial" w:eastAsia="Arial" w:hAnsi="Arial"/>
          <w:sz w:val="16"/>
          <w:szCs w:val="16"/>
          <w:color w:val="3E474E"/>
        </w:rPr>
      </w:pPr>
      <w:r>
        <w:rPr>
          <w:rFonts w:ascii="Arial" w:cs="Arial" w:eastAsia="Arial" w:hAnsi="Arial"/>
          <w:sz w:val="16"/>
          <w:szCs w:val="16"/>
          <w:color w:val="3E474E"/>
        </w:rPr>
        <w:t>Serving as the focal point of communication to our Board of Directors regarding management plans and initiatives;</w:t>
      </w:r>
    </w:p>
    <w:p>
      <w:pPr>
        <w:spacing w:after="0" w:line="14" w:lineRule="exact"/>
        <w:rPr>
          <w:rFonts w:ascii="Arial" w:cs="Arial" w:eastAsia="Arial" w:hAnsi="Arial"/>
          <w:sz w:val="16"/>
          <w:szCs w:val="16"/>
          <w:color w:val="3E474E"/>
        </w:rPr>
      </w:pPr>
    </w:p>
    <w:p>
      <w:pPr>
        <w:ind w:left="180" w:hanging="172"/>
        <w:spacing w:after="0"/>
        <w:tabs>
          <w:tab w:leader="none" w:pos="180" w:val="left"/>
        </w:tabs>
        <w:numPr>
          <w:ilvl w:val="0"/>
          <w:numId w:val="59"/>
        </w:numPr>
        <w:rPr>
          <w:rFonts w:ascii="Arial" w:cs="Arial" w:eastAsia="Arial" w:hAnsi="Arial"/>
          <w:sz w:val="16"/>
          <w:szCs w:val="16"/>
          <w:color w:val="3E474E"/>
        </w:rPr>
      </w:pPr>
      <w:r>
        <w:rPr>
          <w:rFonts w:ascii="Arial" w:cs="Arial" w:eastAsia="Arial" w:hAnsi="Arial"/>
          <w:sz w:val="16"/>
          <w:szCs w:val="16"/>
          <w:color w:val="3E474E"/>
        </w:rPr>
        <w:t>Ensuring that the role between Board oversight and management operations is respected;</w:t>
      </w:r>
    </w:p>
    <w:p>
      <w:pPr>
        <w:spacing w:after="0" w:line="8" w:lineRule="exact"/>
        <w:rPr>
          <w:rFonts w:ascii="Arial" w:cs="Arial" w:eastAsia="Arial" w:hAnsi="Arial"/>
          <w:sz w:val="16"/>
          <w:szCs w:val="16"/>
          <w:color w:val="3E474E"/>
        </w:rPr>
      </w:pPr>
    </w:p>
    <w:p>
      <w:pPr>
        <w:ind w:left="180" w:hanging="172"/>
        <w:spacing w:after="0"/>
        <w:tabs>
          <w:tab w:leader="none" w:pos="180" w:val="left"/>
        </w:tabs>
        <w:numPr>
          <w:ilvl w:val="0"/>
          <w:numId w:val="59"/>
        </w:numPr>
        <w:rPr>
          <w:rFonts w:ascii="Arial" w:cs="Arial" w:eastAsia="Arial" w:hAnsi="Arial"/>
          <w:sz w:val="16"/>
          <w:szCs w:val="16"/>
          <w:color w:val="3E474E"/>
        </w:rPr>
      </w:pPr>
      <w:r>
        <w:rPr>
          <w:rFonts w:ascii="Arial" w:cs="Arial" w:eastAsia="Arial" w:hAnsi="Arial"/>
          <w:sz w:val="16"/>
          <w:szCs w:val="16"/>
          <w:color w:val="3E474E"/>
        </w:rPr>
        <w:t>Providing the medium for informal dialogue with and between independent directors, allowing for free and open communication within that group; and</w:t>
      </w:r>
    </w:p>
    <w:p>
      <w:pPr>
        <w:spacing w:after="0" w:line="5" w:lineRule="exact"/>
        <w:rPr>
          <w:rFonts w:ascii="Arial" w:cs="Arial" w:eastAsia="Arial" w:hAnsi="Arial"/>
          <w:sz w:val="16"/>
          <w:szCs w:val="16"/>
          <w:color w:val="3E474E"/>
        </w:rPr>
      </w:pPr>
    </w:p>
    <w:p>
      <w:pPr>
        <w:ind w:left="180" w:hanging="172"/>
        <w:spacing w:after="0"/>
        <w:tabs>
          <w:tab w:leader="none" w:pos="180" w:val="left"/>
        </w:tabs>
        <w:numPr>
          <w:ilvl w:val="0"/>
          <w:numId w:val="59"/>
        </w:numPr>
        <w:rPr>
          <w:rFonts w:ascii="Arial" w:cs="Arial" w:eastAsia="Arial" w:hAnsi="Arial"/>
          <w:sz w:val="16"/>
          <w:szCs w:val="16"/>
          <w:color w:val="3E474E"/>
        </w:rPr>
      </w:pPr>
      <w:r>
        <w:rPr>
          <w:rFonts w:ascii="Arial" w:cs="Arial" w:eastAsia="Arial" w:hAnsi="Arial"/>
          <w:sz w:val="16"/>
          <w:szCs w:val="16"/>
          <w:color w:val="3E474E"/>
        </w:rPr>
        <w:t>Serving as the communication conduit for third parties who wish to communicate with our Board of Directors.</w:t>
      </w:r>
    </w:p>
    <w:p>
      <w:pPr>
        <w:spacing w:after="0" w:line="246" w:lineRule="exact"/>
        <w:rPr>
          <w:sz w:val="20"/>
          <w:szCs w:val="20"/>
          <w:color w:val="auto"/>
        </w:rPr>
      </w:pPr>
    </w:p>
    <w:p>
      <w:pPr>
        <w:ind w:right="3100"/>
        <w:spacing w:after="0" w:line="286" w:lineRule="auto"/>
        <w:rPr>
          <w:sz w:val="20"/>
          <w:szCs w:val="20"/>
          <w:color w:val="auto"/>
        </w:rPr>
      </w:pPr>
      <w:r>
        <w:rPr>
          <w:rFonts w:ascii="Arial" w:cs="Arial" w:eastAsia="Arial" w:hAnsi="Arial"/>
          <w:sz w:val="16"/>
          <w:szCs w:val="16"/>
          <w:color w:val="3E474E"/>
        </w:rPr>
        <w:t>The Lead Independent Director is selected annually by a majority of the independent directors then serving on the Board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1478A3"/>
        </w:rPr>
        <w:t>Corporate Governance Guidelines</w:t>
      </w:r>
    </w:p>
    <w:p>
      <w:pPr>
        <w:spacing w:after="0" w:line="5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3E474E"/>
        </w:rPr>
        <w:t>The Board has adopted Corporate Governance Guidelines, which describe the Board's responsibility for oversight of the business and affairs of the Company as well as guidelines for determining director independence and consideration of potential nominees to the Board. The Corporate Governance Guidelines can be found on the Company's website at https://ir.ahrealtytrust.com. The Board, directly and through its Nominating and Corporate Governance Committee, regularly reviews developments and best practices in corporate governance and makes modification to the Corporate Governance Guidelines, committee charters and other key governance documents, policies and practices as it determines necessary or appropriate.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1478A3"/>
        </w:rPr>
        <w:t>Independence of Directors</w:t>
      </w:r>
    </w:p>
    <w:p>
      <w:pPr>
        <w:spacing w:after="0" w:line="56"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3E474E"/>
        </w:rPr>
        <w:t>NYSE listing standards require NYSE-listed companies to have a majority of independent board members and a nominating/corporate governance committee, a compensation committee, and an audit committee, each comprised solely of independent directors. Under the NYSE listing standards, no director of a company qualifies as “independent” unless the Board of Directors of the Company affirmatively determines that the director has no material relationship with the Company (either directly or as a partner, stockholder, or officer of an organization that has a relationship with such company).</w:t>
      </w:r>
    </w:p>
    <w:p>
      <w:pPr>
        <w:spacing w:after="0" w:line="213"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3E474E"/>
        </w:rPr>
        <w:t>The Board has affirmatively determined that six of the nine director nominees are independent under the requirements of the NYSE. All of the members of the Audit Committee, Compensation Committee, and Nominating and Corporate Governance Committee are independent directors under the requirements and rules of the NYSE and other applicable laws, rules and regulations. Messrs. Hoffler, Haddad, and Tibbetts are not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21</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747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478A3"/>
        </w:rPr>
        <w:t>Board and Committee Meetings</w:t>
      </w:r>
    </w:p>
    <w:p>
      <w:pPr>
        <w:spacing w:after="0" w:line="56"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3E474E"/>
        </w:rPr>
        <w:t>During the fiscal year ended December 31, 2025, the Board of Directors met ten times. During 2025, each current director (excluding Ms. Boykin who was elected to the Board in March 2025) attended 98% of the aggregate of the total meetings of the Board.</w:t>
      </w:r>
    </w:p>
    <w:p>
      <w:pPr>
        <w:spacing w:after="0" w:line="19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3E474E"/>
        </w:rPr>
        <w:t>Directors are encouraged to attend each Annual Meeting of Stockholders. Each of the directors that were nominees at the time of the 2025 Annual Meeting were present at the 2025 Annual Meeting.</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1478A3"/>
        </w:rPr>
        <w:t>Executive Sessions of Non-Management Directors</w:t>
      </w:r>
    </w:p>
    <w:p>
      <w:pPr>
        <w:spacing w:after="0" w:line="5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3E474E"/>
        </w:rPr>
        <w:t>The independent directors hold regularly scheduled executive session of the Board and its committees without senior management or the non-independent directors present. These executive sessions are chaired by the Lead Independent Director at Board meetings or by the committee chairs at the committee meetings, each of whom is an independent director. The independent directors met in executive session at all of the regularly scheduled Board and committee meetings held in 2025.</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1478A3"/>
        </w:rPr>
        <w:t>Board Membership</w:t>
      </w:r>
    </w:p>
    <w:p>
      <w:pPr>
        <w:spacing w:after="0" w:line="56"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3E474E"/>
        </w:rPr>
        <w:t>The Nominating and Corporate Governance Committee assists the Board in establishing criteria and qualifications for potential Board members. The committee identifies individuals who meet such criteria and qualifications to become Board members and recommends to the Board such individuals as potential nominees for election to the Board.</w:t>
      </w:r>
    </w:p>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6"/>
          <w:szCs w:val="16"/>
          <w:color w:val="3E474E"/>
        </w:rPr>
        <w:t xml:space="preserve">In addition to the skills set forth on page </w:t>
      </w:r>
      <w:r>
        <w:rPr>
          <w:rFonts w:ascii="Arial" w:cs="Arial" w:eastAsia="Arial" w:hAnsi="Arial"/>
          <w:sz w:val="16"/>
          <w:szCs w:val="16"/>
          <w:u w:val="single" w:color="auto"/>
          <w:color w:val="0000FF"/>
        </w:rPr>
        <w:t>9</w:t>
      </w:r>
      <w:r>
        <w:rPr>
          <w:rFonts w:ascii="Arial" w:cs="Arial" w:eastAsia="Arial" w:hAnsi="Arial"/>
          <w:sz w:val="16"/>
          <w:szCs w:val="16"/>
          <w:color w:val="3E474E"/>
        </w:rPr>
        <w:t xml:space="preserve"> and other considerations in respect of the potential needs of the Board, the committee seeks attributes in potential new members that will complement and enhance the Board's existing make-up, while taking into account expected retirements, to best facilitate Board succession, transition and effectiveness. The committee evaluates each individual in the context of the Board as a whole, to recommend a group that can best contribute to the success of our Company.</w:t>
      </w:r>
    </w:p>
    <w:p>
      <w:pPr>
        <w:spacing w:after="0" w:line="20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3E474E"/>
        </w:rPr>
        <w:t>In accordance with the Company's Corporate Governance Guidelines, directors may not be nominated or stand for re-election after reaching age 80, unless the Board, in its discretion, elects to waive this limitation.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1478A3"/>
        </w:rPr>
        <w:t>Majority Voting Standard for Uncontested Director Elections</w:t>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6"/>
          <w:szCs w:val="16"/>
          <w:color w:val="3E474E"/>
        </w:rPr>
        <w:t>Our bylaws provide for majority voting in uncontested elections of directors. Under this majority voting standard, the affirmative vote of a majority of the votes cast for or against a nominee is required for the election of a director in an uncontested election, which means that the number of votes cast for a director must exceed the number of votes cast against such director. In any contested election, in which the number of director nominees exceeds the number of directors to be elected, directors will be elected by a plurality of the votes cast.</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6"/>
          <w:szCs w:val="16"/>
          <w:color w:val="3E474E"/>
        </w:rPr>
        <w:t>In addition, our Corporate Governance Guidelines require incumbent director nominees who fail to receive a majority of the votes cast in an uncontested election of directors to submit an offer to resign from our Board of Directors. The Nominating and Corporate Governance Committee of our Board must consider any such offer to resign and make a recommendation to our Board on whether to accept or reject the resignation. Taking into account the recommendation of the Nominating and Corporate Governance Committee, our Board will determine whether to accept or reject any such resignation within 90 days after the certification of the election results, and we will report such decision in a press release, filing with the SEC or by other public announcement. If an incumbent director’s resignation is accepted by our Board, then our Board may fill the resulting vacancy or decrease the size of our Board in accordance with our bylaws. If a director’s resignation is not accepted by our Board, such director will continue to serve until his or her successor is duly elected and qualified, or his or her earlier death, resignation, retirement, or removal. For the purposes of applying this majority voting standard, an election is considered “uncontested” if no stockholder provides notice of its intention to nominate one or more candidates to compete with our Board's nominees in the manner required by our bylaws, or if any such stockholder has withdrawn all such nominations on or before the close of business ten days prior to the filing of our definitive proxy statement with the SEC.</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1478A3"/>
        </w:rPr>
        <w:t>Succession Planning</w:t>
      </w:r>
    </w:p>
    <w:p>
      <w:pPr>
        <w:spacing w:after="0" w:line="56" w:lineRule="exact"/>
        <w:rPr>
          <w:sz w:val="20"/>
          <w:szCs w:val="20"/>
          <w:color w:val="auto"/>
        </w:rPr>
      </w:pPr>
    </w:p>
    <w:p>
      <w:pPr>
        <w:spacing w:after="0" w:line="261" w:lineRule="auto"/>
        <w:rPr>
          <w:sz w:val="20"/>
          <w:szCs w:val="20"/>
          <w:color w:val="auto"/>
        </w:rPr>
      </w:pPr>
      <w:r>
        <w:rPr>
          <w:rFonts w:ascii="Arial" w:cs="Arial" w:eastAsia="Arial" w:hAnsi="Arial"/>
          <w:sz w:val="16"/>
          <w:szCs w:val="16"/>
          <w:color w:val="3E474E"/>
        </w:rPr>
        <w:t>Succession planning is a critical component of our corporate governance strategy. As part of our commitment to ensuring continuity and sustained leadership excellence, our Board of Directors regularly assesses potential successors, mentoring programs, and leadership development initiatives. The Company’s succession plan outlines a structured approach to identifying and cultivating talent within our organization and preparing individuals for key leadership roles. Our focus is on developing a pipeline of skilled individuals who can seamlessly step into leadership positions as needed. By fostering a culture of continuous learning and talent development, we aim to mitigate any potential disruptions and ensure the smooth transition of leadership roles. This commitment to succession planning underscores our dedication to long-term stability, resilience, and the sustained success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763905</wp:posOffset>
            </wp:positionV>
            <wp:extent cx="825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763905</wp:posOffset>
            </wp:positionV>
            <wp:extent cx="825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22</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747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3E474E"/>
        </w:rPr>
        <w:t>Consistent with the Company’s overarching succession plan, which was previously disclosed, the following management changes were completed:</w:t>
      </w:r>
    </w:p>
    <w:p>
      <w:pPr>
        <w:spacing w:after="0" w:line="248" w:lineRule="exact"/>
        <w:rPr>
          <w:sz w:val="20"/>
          <w:szCs w:val="20"/>
          <w:color w:val="auto"/>
        </w:rPr>
      </w:pPr>
    </w:p>
    <w:p>
      <w:pPr>
        <w:ind w:left="600" w:hanging="268"/>
        <w:spacing w:after="0"/>
        <w:tabs>
          <w:tab w:leader="none" w:pos="600" w:val="left"/>
        </w:tabs>
        <w:numPr>
          <w:ilvl w:val="0"/>
          <w:numId w:val="60"/>
        </w:numPr>
        <w:rPr>
          <w:rFonts w:ascii="Arial" w:cs="Arial" w:eastAsia="Arial" w:hAnsi="Arial"/>
          <w:sz w:val="16"/>
          <w:szCs w:val="16"/>
          <w:color w:val="3E474E"/>
        </w:rPr>
      </w:pPr>
      <w:r>
        <w:rPr>
          <w:rFonts w:ascii="Arial" w:cs="Arial" w:eastAsia="Arial" w:hAnsi="Arial"/>
          <w:sz w:val="16"/>
          <w:szCs w:val="16"/>
          <w:color w:val="3E474E"/>
        </w:rPr>
        <w:t>On January 1, 2026, Mr. Tibbetts was appointed Chairman of the Board.</w:t>
      </w:r>
    </w:p>
    <w:p>
      <w:pPr>
        <w:spacing w:after="0" w:line="261" w:lineRule="exact"/>
        <w:rPr>
          <w:rFonts w:ascii="Arial" w:cs="Arial" w:eastAsia="Arial" w:hAnsi="Arial"/>
          <w:sz w:val="16"/>
          <w:szCs w:val="16"/>
          <w:color w:val="3E474E"/>
        </w:rPr>
      </w:pPr>
    </w:p>
    <w:p>
      <w:pPr>
        <w:ind w:left="660" w:right="60" w:hanging="328"/>
        <w:spacing w:after="0" w:line="275" w:lineRule="auto"/>
        <w:tabs>
          <w:tab w:leader="none" w:pos="609" w:val="left"/>
        </w:tabs>
        <w:numPr>
          <w:ilvl w:val="0"/>
          <w:numId w:val="60"/>
        </w:numPr>
        <w:rPr>
          <w:rFonts w:ascii="Arial" w:cs="Arial" w:eastAsia="Arial" w:hAnsi="Arial"/>
          <w:sz w:val="16"/>
          <w:szCs w:val="16"/>
          <w:color w:val="3E474E"/>
        </w:rPr>
      </w:pPr>
      <w:r>
        <w:rPr>
          <w:rFonts w:ascii="Arial" w:cs="Arial" w:eastAsia="Arial" w:hAnsi="Arial"/>
          <w:sz w:val="16"/>
          <w:szCs w:val="16"/>
          <w:color w:val="3E474E"/>
        </w:rPr>
        <w:t>On January 1, 2025, Shawn J. Tibbetts was appointed Chief Executive Officer, having previously served as the Company's President from February 15, 2024 and Chief Operating Officer since joining the Company in 2019. His appointment to Chief Executive Officer marks the completion of the Company's six-year strategic succession plan.</w:t>
      </w:r>
    </w:p>
    <w:p>
      <w:pPr>
        <w:spacing w:after="0" w:line="200" w:lineRule="exact"/>
        <w:rPr>
          <w:sz w:val="20"/>
          <w:szCs w:val="20"/>
          <w:color w:val="auto"/>
        </w:rPr>
      </w:pPr>
    </w:p>
    <w:p>
      <w:pPr>
        <w:spacing w:after="0" w:line="234"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3E474E"/>
        </w:rPr>
        <w:t>We believe that our succession planning framework positions the Company for long-term success and sustainability. The Board of Directors remains dedicated to ensuring a seamless transition of leadership when necessary.</w:t>
      </w:r>
    </w:p>
    <w:p>
      <w:pPr>
        <w:spacing w:after="0" w:line="19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3E474E"/>
        </w:rPr>
        <w:t>The Board of Directors remains committed to active board refreshment to ensure optimal board structure, strong composition, and the exercise of sound business judgment in discharging the Board's responsibilities in accordance with evolving standards and practices. We seek to add directors who contribute to the unique mix of background, expertise, perspective, age, and gender of our Board of Directors. The Nominating and Corporate Governance Committee aspires to achieve a balanced mix of skills and experiences relevant to the Company's strategic direction and operations, while leveraging the deep institutional knowledge and valuable insight associated with the Board's more tenured directors. Our focus is to have a board that continues to deliver a high standard of performance and governance expected by investors. Consistent with this goal, we are nominating two independent directors at the Annual Meeting.</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1478A3"/>
        </w:rPr>
        <w:t>Director Nominee Selection Process</w:t>
      </w:r>
    </w:p>
    <w:p>
      <w:pPr>
        <w:spacing w:after="0" w:line="7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3E474E"/>
        </w:rPr>
        <w:t>The Nominating and Corporate Governance Committee is responsible for, among other things, the selection and recommendation to our Board of Directors of nominees for election as directors. In assessing candidates for election to our Board of Directors, the Nominating and Corporate Governance Committee takes into account such factors as it deems appropriate, including, among others, familiarity with our industry, broad experience in business, finance or administration, diversity of both background and experience, areas of expertise, and other factors relative to the overall composition of the Board of Directors. In addition, the Nominating and Corporate Governance Committee considers whether a potential candidate for director has the time available, in light of other business and personal commitments, to perform the responsibilities required for effective service on the Board of Directors. The Board of Directors believes its effectiveness is enhanced by being comprised of individuals with diverse backgrounds, skills and experience that are relevant to the role of the Board of Directors and the needs of our business. Accordingly, the Board of Directors, through the Nominating and Corporate Governance Committee, will regularly review the changing needs of the business and the skills and experience resident in its members, with the intention that the Board of Directors will be periodically “renewed” as certain directors rotate off and new directors are recruited. The Board of Director’s commitment to diversity and renewal will be tempered by the need to balance change with continuity and experience. Additionally, in the interest of allowing for new perspectives and diversity on the Board, directors may not stand for re-election to the Board at our next annual meeting of stockholders after reaching the age of 80.</w:t>
      </w: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3E474E"/>
        </w:rPr>
        <w:t>Applying the criteria described above, the Nominating and Corporate Governance Committee considers candidates for Board membership suggested by its members and other Board members, as well as management and stockholders or other persons. These candidates may be evaluated at meetings of the Nominating and Corporate Governance Committee as necessary and discussed by the Nominating and Corporate Governance Committee from time to time. Candidates may be considered at any point during the year. After completing the identification and evaluation process described above, and in the table below, the Nominating and Corporate Governance Committee recommends the nominees for election to the Board of Directors. Taking the Nominating and Corporate Governance Committee’s recommendation into consideration, the Board of Directors then approves the nominees for directorship for stockholders to consider and vote upon at the annual meeting of stockholders. The table below presents our Board's process for identifying and evaluating candidates for Board membership.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23</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747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260" w:type="dxa"/>
            <w:vAlign w:val="bottom"/>
            <w:tcBorders>
              <w:top w:val="single" w:sz="8" w:color="auto"/>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b w:val="1"/>
                <w:bCs w:val="1"/>
                <w:color w:val="3E474E"/>
              </w:rPr>
              <w:t>Review Succession Plan</w:t>
            </w:r>
          </w:p>
        </w:tc>
        <w:tc>
          <w:tcPr>
            <w:tcW w:w="2240" w:type="dxa"/>
            <w:vAlign w:val="bottom"/>
            <w:tcBorders>
              <w:top w:val="single" w:sz="8" w:color="auto"/>
              <w:bottom w:val="single" w:sz="8" w:color="auto"/>
              <w:right w:val="single" w:sz="8" w:color="auto"/>
            </w:tcBorders>
            <w:shd w:val="clear" w:color="auto" w:fill="DBDBDB"/>
          </w:tcPr>
          <w:p>
            <w:pPr>
              <w:spacing w:after="0"/>
              <w:rPr>
                <w:sz w:val="20"/>
                <w:szCs w:val="20"/>
                <w:color w:val="auto"/>
              </w:rPr>
            </w:pPr>
            <w:r>
              <w:rPr>
                <w:rFonts w:ascii="Arial" w:cs="Arial" w:eastAsia="Arial" w:hAnsi="Arial"/>
                <w:sz w:val="16"/>
                <w:szCs w:val="16"/>
                <w:b w:val="1"/>
                <w:bCs w:val="1"/>
                <w:color w:val="3E474E"/>
              </w:rPr>
              <w:t>Director Nominee Search</w:t>
            </w:r>
          </w:p>
        </w:tc>
        <w:tc>
          <w:tcPr>
            <w:tcW w:w="2160" w:type="dxa"/>
            <w:vAlign w:val="bottom"/>
            <w:tcBorders>
              <w:top w:val="single" w:sz="8" w:color="auto"/>
              <w:bottom w:val="single" w:sz="8" w:color="auto"/>
              <w:right w:val="single" w:sz="8" w:color="auto"/>
            </w:tcBorders>
            <w:shd w:val="clear" w:color="auto" w:fill="DBDBDB"/>
          </w:tcPr>
          <w:p>
            <w:pPr>
              <w:spacing w:after="0"/>
              <w:rPr>
                <w:sz w:val="20"/>
                <w:szCs w:val="20"/>
                <w:color w:val="auto"/>
              </w:rPr>
            </w:pPr>
            <w:r>
              <w:rPr>
                <w:rFonts w:ascii="Arial" w:cs="Arial" w:eastAsia="Arial" w:hAnsi="Arial"/>
                <w:sz w:val="16"/>
                <w:szCs w:val="16"/>
                <w:b w:val="1"/>
                <w:bCs w:val="1"/>
                <w:color w:val="3E474E"/>
              </w:rPr>
              <w:t>Evaluation of Candidates</w:t>
            </w:r>
          </w:p>
        </w:tc>
        <w:tc>
          <w:tcPr>
            <w:tcW w:w="2340" w:type="dxa"/>
            <w:vAlign w:val="bottom"/>
            <w:tcBorders>
              <w:top w:val="single" w:sz="8" w:color="auto"/>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3E474E"/>
              </w:rPr>
              <w:t>Recommend to the Board</w:t>
            </w:r>
          </w:p>
        </w:tc>
        <w:tc>
          <w:tcPr>
            <w:tcW w:w="2260" w:type="dxa"/>
            <w:vAlign w:val="bottom"/>
            <w:tcBorders>
              <w:top w:val="single" w:sz="8" w:color="auto"/>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3E474E"/>
              </w:rPr>
              <w:t>Selection by Board</w:t>
            </w:r>
          </w:p>
        </w:tc>
      </w:tr>
      <w:tr>
        <w:trPr>
          <w:trHeight w:val="199"/>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3E474E"/>
              </w:rPr>
              <w:t>The Nominating and</w:t>
            </w:r>
          </w:p>
        </w:tc>
        <w:tc>
          <w:tcPr>
            <w:tcW w:w="2240" w:type="dxa"/>
            <w:vAlign w:val="bottom"/>
            <w:tcBorders>
              <w:right w:val="single" w:sz="8" w:color="auto"/>
            </w:tcBorders>
          </w:tcPr>
          <w:p>
            <w:pPr>
              <w:spacing w:after="0"/>
              <w:rPr>
                <w:sz w:val="20"/>
                <w:szCs w:val="20"/>
                <w:color w:val="auto"/>
              </w:rPr>
            </w:pPr>
            <w:r>
              <w:rPr>
                <w:rFonts w:ascii="Arial" w:cs="Arial" w:eastAsia="Arial" w:hAnsi="Arial"/>
                <w:sz w:val="16"/>
                <w:szCs w:val="16"/>
                <w:color w:val="3E474E"/>
              </w:rPr>
              <w:t>Potential candidates are</w:t>
            </w:r>
          </w:p>
        </w:tc>
        <w:tc>
          <w:tcPr>
            <w:tcW w:w="2160" w:type="dxa"/>
            <w:vAlign w:val="bottom"/>
            <w:tcBorders>
              <w:right w:val="single" w:sz="8" w:color="auto"/>
            </w:tcBorders>
          </w:tcPr>
          <w:p>
            <w:pPr>
              <w:spacing w:after="0"/>
              <w:rPr>
                <w:sz w:val="20"/>
                <w:szCs w:val="20"/>
                <w:color w:val="auto"/>
              </w:rPr>
            </w:pPr>
            <w:r>
              <w:rPr>
                <w:rFonts w:ascii="Arial" w:cs="Arial" w:eastAsia="Arial" w:hAnsi="Arial"/>
                <w:sz w:val="16"/>
                <w:szCs w:val="16"/>
                <w:color w:val="3E474E"/>
              </w:rPr>
              <w:t>The Nominating and</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The Nominating and Corporate</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The Board will evaluate and</w:t>
            </w:r>
          </w:p>
        </w:tc>
      </w:tr>
      <w:tr>
        <w:trPr>
          <w:trHeight w:val="203"/>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3E474E"/>
              </w:rPr>
              <w:t>Corporate Governance</w:t>
            </w:r>
          </w:p>
        </w:tc>
        <w:tc>
          <w:tcPr>
            <w:tcW w:w="2240" w:type="dxa"/>
            <w:vAlign w:val="bottom"/>
            <w:tcBorders>
              <w:right w:val="single" w:sz="8" w:color="auto"/>
            </w:tcBorders>
          </w:tcPr>
          <w:p>
            <w:pPr>
              <w:spacing w:after="0"/>
              <w:rPr>
                <w:sz w:val="20"/>
                <w:szCs w:val="20"/>
                <w:color w:val="auto"/>
              </w:rPr>
            </w:pPr>
            <w:r>
              <w:rPr>
                <w:rFonts w:ascii="Arial" w:cs="Arial" w:eastAsia="Arial" w:hAnsi="Arial"/>
                <w:sz w:val="16"/>
                <w:szCs w:val="16"/>
                <w:color w:val="3E474E"/>
              </w:rPr>
              <w:t>recommended by the current</w:t>
            </w:r>
          </w:p>
        </w:tc>
        <w:tc>
          <w:tcPr>
            <w:tcW w:w="2160" w:type="dxa"/>
            <w:vAlign w:val="bottom"/>
            <w:tcBorders>
              <w:right w:val="single" w:sz="8" w:color="auto"/>
            </w:tcBorders>
          </w:tcPr>
          <w:p>
            <w:pPr>
              <w:spacing w:after="0"/>
              <w:rPr>
                <w:sz w:val="20"/>
                <w:szCs w:val="20"/>
                <w:color w:val="auto"/>
              </w:rPr>
            </w:pPr>
            <w:r>
              <w:rPr>
                <w:rFonts w:ascii="Arial" w:cs="Arial" w:eastAsia="Arial" w:hAnsi="Arial"/>
                <w:sz w:val="16"/>
                <w:szCs w:val="16"/>
                <w:color w:val="3E474E"/>
              </w:rPr>
              <w:t>Corporate Governance</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Governance Committee will</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select director nominees</w:t>
            </w:r>
          </w:p>
        </w:tc>
      </w:tr>
      <w:tr>
        <w:trPr>
          <w:trHeight w:val="189"/>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3E474E"/>
              </w:rPr>
              <w:t>Committee evaluates the</w:t>
            </w:r>
          </w:p>
        </w:tc>
        <w:tc>
          <w:tcPr>
            <w:tcW w:w="2240" w:type="dxa"/>
            <w:vAlign w:val="bottom"/>
            <w:tcBorders>
              <w:right w:val="single" w:sz="8" w:color="auto"/>
            </w:tcBorders>
          </w:tcPr>
          <w:p>
            <w:pPr>
              <w:spacing w:after="0"/>
              <w:rPr>
                <w:sz w:val="20"/>
                <w:szCs w:val="20"/>
                <w:color w:val="auto"/>
              </w:rPr>
            </w:pPr>
            <w:r>
              <w:rPr>
                <w:rFonts w:ascii="Arial" w:cs="Arial" w:eastAsia="Arial" w:hAnsi="Arial"/>
                <w:sz w:val="16"/>
                <w:szCs w:val="16"/>
                <w:color w:val="3E474E"/>
              </w:rPr>
              <w:t>directors, senior management,</w:t>
            </w:r>
          </w:p>
        </w:tc>
        <w:tc>
          <w:tcPr>
            <w:tcW w:w="2160" w:type="dxa"/>
            <w:vAlign w:val="bottom"/>
            <w:tcBorders>
              <w:right w:val="single" w:sz="8" w:color="auto"/>
            </w:tcBorders>
          </w:tcPr>
          <w:p>
            <w:pPr>
              <w:spacing w:after="0"/>
              <w:rPr>
                <w:sz w:val="20"/>
                <w:szCs w:val="20"/>
                <w:color w:val="auto"/>
              </w:rPr>
            </w:pPr>
            <w:r>
              <w:rPr>
                <w:rFonts w:ascii="Arial" w:cs="Arial" w:eastAsia="Arial" w:hAnsi="Arial"/>
                <w:sz w:val="16"/>
                <w:szCs w:val="16"/>
                <w:color w:val="3E474E"/>
              </w:rPr>
              <w:t>Committee will evaluate the</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analyze the background,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based on the</w:t>
            </w:r>
          </w:p>
        </w:tc>
      </w:tr>
      <w:tr>
        <w:trPr>
          <w:trHeight w:val="203"/>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3E474E"/>
              </w:rPr>
              <w:t>needs and desired attributes</w:t>
            </w:r>
          </w:p>
        </w:tc>
        <w:tc>
          <w:tcPr>
            <w:tcW w:w="2240" w:type="dxa"/>
            <w:vAlign w:val="bottom"/>
            <w:tcBorders>
              <w:right w:val="single" w:sz="8" w:color="auto"/>
            </w:tcBorders>
          </w:tcPr>
          <w:p>
            <w:pPr>
              <w:spacing w:after="0"/>
              <w:rPr>
                <w:sz w:val="20"/>
                <w:szCs w:val="20"/>
                <w:color w:val="auto"/>
              </w:rPr>
            </w:pPr>
            <w:r>
              <w:rPr>
                <w:rFonts w:ascii="Arial" w:cs="Arial" w:eastAsia="Arial" w:hAnsi="Arial"/>
                <w:sz w:val="16"/>
                <w:szCs w:val="16"/>
                <w:color w:val="3E474E"/>
              </w:rPr>
              <w:t>search firms, and</w:t>
            </w:r>
          </w:p>
        </w:tc>
        <w:tc>
          <w:tcPr>
            <w:tcW w:w="2160" w:type="dxa"/>
            <w:vAlign w:val="bottom"/>
            <w:tcBorders>
              <w:right w:val="single" w:sz="8" w:color="auto"/>
            </w:tcBorders>
          </w:tcPr>
          <w:p>
            <w:pPr>
              <w:spacing w:after="0"/>
              <w:rPr>
                <w:sz w:val="20"/>
                <w:szCs w:val="20"/>
                <w:color w:val="auto"/>
              </w:rPr>
            </w:pPr>
            <w:r>
              <w:rPr>
                <w:rFonts w:ascii="Arial" w:cs="Arial" w:eastAsia="Arial" w:hAnsi="Arial"/>
                <w:sz w:val="16"/>
                <w:szCs w:val="16"/>
                <w:color w:val="3E474E"/>
              </w:rPr>
              <w:t>potential qualified candidates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expertise, independence and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recommendations by the</w:t>
            </w:r>
          </w:p>
        </w:tc>
      </w:tr>
      <w:tr>
        <w:trPr>
          <w:trHeight w:val="189"/>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3E474E"/>
              </w:rPr>
              <w:t>of the Board and the</w:t>
            </w:r>
          </w:p>
        </w:tc>
        <w:tc>
          <w:tcPr>
            <w:tcW w:w="2240" w:type="dxa"/>
            <w:vAlign w:val="bottom"/>
            <w:tcBorders>
              <w:right w:val="single" w:sz="8" w:color="auto"/>
            </w:tcBorders>
          </w:tcPr>
          <w:p>
            <w:pPr>
              <w:spacing w:after="0"/>
              <w:rPr>
                <w:sz w:val="20"/>
                <w:szCs w:val="20"/>
                <w:color w:val="auto"/>
              </w:rPr>
            </w:pPr>
            <w:r>
              <w:rPr>
                <w:rFonts w:ascii="Arial" w:cs="Arial" w:eastAsia="Arial" w:hAnsi="Arial"/>
                <w:sz w:val="16"/>
                <w:szCs w:val="16"/>
                <w:color w:val="3E474E"/>
              </w:rPr>
              <w:t>stockholders.</w:t>
            </w:r>
          </w:p>
        </w:tc>
        <w:tc>
          <w:tcPr>
            <w:tcW w:w="2160" w:type="dxa"/>
            <w:vAlign w:val="bottom"/>
            <w:tcBorders>
              <w:right w:val="single" w:sz="8" w:color="auto"/>
            </w:tcBorders>
          </w:tcPr>
          <w:p>
            <w:pPr>
              <w:spacing w:after="0"/>
              <w:rPr>
                <w:sz w:val="20"/>
                <w:szCs w:val="20"/>
                <w:color w:val="auto"/>
              </w:rPr>
            </w:pPr>
            <w:r>
              <w:rPr>
                <w:rFonts w:ascii="Arial" w:cs="Arial" w:eastAsia="Arial" w:hAnsi="Arial"/>
                <w:sz w:val="16"/>
                <w:szCs w:val="16"/>
                <w:color w:val="3E474E"/>
              </w:rPr>
              <w:t>and conduct interviews as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other qualifications and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Nominating and Corporate</w:t>
            </w:r>
          </w:p>
        </w:tc>
      </w:tr>
      <w:tr>
        <w:trPr>
          <w:trHeight w:val="189"/>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3E474E"/>
              </w:rPr>
              <w:t>Company, then considers any</w:t>
            </w:r>
          </w:p>
        </w:tc>
        <w:tc>
          <w:tcPr>
            <w:tcW w:w="224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spacing w:after="0"/>
              <w:rPr>
                <w:sz w:val="20"/>
                <w:szCs w:val="20"/>
                <w:color w:val="auto"/>
              </w:rPr>
            </w:pPr>
            <w:r>
              <w:rPr>
                <w:rFonts w:ascii="Arial" w:cs="Arial" w:eastAsia="Arial" w:hAnsi="Arial"/>
                <w:sz w:val="16"/>
                <w:szCs w:val="16"/>
                <w:color w:val="3E474E"/>
              </w:rPr>
              <w:t>necessary.</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attributes of the candidates</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Governance Committee,</w:t>
            </w:r>
          </w:p>
        </w:tc>
      </w:tr>
      <w:tr>
        <w:trPr>
          <w:trHeight w:val="203"/>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3E474E"/>
              </w:rPr>
              <w:t>necessary updates to the</w:t>
            </w:r>
          </w:p>
        </w:tc>
        <w:tc>
          <w:tcPr>
            <w:tcW w:w="224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before making a</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3E474E"/>
              </w:rPr>
              <w:t>including additional interviews</w:t>
            </w:r>
          </w:p>
        </w:tc>
      </w:tr>
      <w:tr>
        <w:trPr>
          <w:trHeight w:val="224"/>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3E474E"/>
              </w:rPr>
              <w:t>Board succession plan.</w:t>
            </w:r>
          </w:p>
        </w:tc>
        <w:tc>
          <w:tcPr>
            <w:tcW w:w="22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3E474E"/>
              </w:rPr>
              <w:t>recommendation to the Board.</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3E474E"/>
              </w:rPr>
              <w:t>if necessary.</w:t>
            </w:r>
          </w:p>
        </w:tc>
      </w:tr>
    </w:tbl>
    <w:p>
      <w:pPr>
        <w:spacing w:after="0" w:line="32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3E474E"/>
        </w:rPr>
        <w:t>Stockholders wishing to nominate individuals for consideration as directors must follow the procedures described in Article II, Section 11 of the Company’s bylaws, including (among other requirements) the receipt of written notice of the nomination by our Corporate Secretary, no later than 120 days prior to the first anniversary of the date of the proxy statement for the previous year’s annual meeting of stockholders. The stockholder’s notice must set forth as to each nominee all information relating to the person that would be required to be disclosed in a solicitation of proxies for election of directors pursuant to Regulation 14A under the Exchange Act if the candidate had been nominated by or on behalf of our Board of Directors. Recommendations by stockholders that are made in this manner will be evaluated in the same manner as other candidates. See “Other Matters—Stockholder Proposals and Communications with the Board—Stockholder Recommendations for Potential Director Nominees." In addition, our bylaws also include a “proxy access” provision which enables eligible long-term stockholders to nominate and include their own director nominees in the Company’s proxy materials, along with the candidates nominated by our Board. See “Other Matters—Stockholder Recommendations for Potential Director Nominees."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1478A3"/>
        </w:rPr>
        <w:t>Stockholder Amendments to Bylaws</w:t>
      </w:r>
    </w:p>
    <w:p>
      <w:pPr>
        <w:spacing w:after="0" w:line="56"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3E474E"/>
        </w:rPr>
        <w:t>The bylaws provide stockholders satisfying the ownership and eligibility requirements of Rule 14a-8 under the Exchange Act the power, by the affirmative vote of a majority of all votes entitled to be cast on the matter, to alter or repeal any provision of the bylaws and to adopt new bylaws, except that stockholders do not have the power to alter or repeal Article XIV (related to amendments to the bylaws) or Article XII (related to indemnification and advancement of expenses) of the bylaws or adopt any provision of the bylaws inconsistent with Article XIV or Article XII without the approval of the Board.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1478A3"/>
        </w:rPr>
        <w:t>Board Self-Assessment and Evaluation</w:t>
      </w:r>
    </w:p>
    <w:p>
      <w:pPr>
        <w:spacing w:after="0" w:line="56" w:lineRule="exact"/>
        <w:rPr>
          <w:sz w:val="20"/>
          <w:szCs w:val="20"/>
          <w:color w:val="auto"/>
        </w:rPr>
      </w:pPr>
    </w:p>
    <w:p>
      <w:pPr>
        <w:ind w:right="140"/>
        <w:spacing w:after="0" w:line="210" w:lineRule="exact"/>
        <w:rPr>
          <w:sz w:val="20"/>
          <w:szCs w:val="20"/>
          <w:color w:val="auto"/>
        </w:rPr>
      </w:pPr>
      <w:r>
        <w:rPr>
          <w:rFonts w:ascii="Arial" w:cs="Arial" w:eastAsia="Arial" w:hAnsi="Arial"/>
          <w:sz w:val="16"/>
          <w:szCs w:val="16"/>
          <w:color w:val="3E474E"/>
        </w:rPr>
        <w:t>Annual self-evaluation and assessment of Board performance help ensure that our Board and its committees function effectively and in the best interests of our stockholders. This process also promotes good governance and helps set expectations for the relationship and interaction between the Board and management. The Board’s annual self</w:t>
      </w:r>
      <w:r>
        <w:rPr>
          <w:rFonts w:ascii="MS PGothic" w:cs="MS PGothic" w:eastAsia="MS PGothic" w:hAnsi="MS PGothic"/>
          <w:sz w:val="16"/>
          <w:szCs w:val="16"/>
          <w:color w:val="3E474E"/>
        </w:rPr>
        <w:t>‑</w:t>
      </w:r>
      <w:r>
        <w:rPr>
          <w:rFonts w:ascii="Arial" w:cs="Arial" w:eastAsia="Arial" w:hAnsi="Arial"/>
          <w:sz w:val="16"/>
          <w:szCs w:val="16"/>
          <w:color w:val="3E474E"/>
        </w:rPr>
        <w:t>evaluation and assessment process is reviewed and considered each year.</w:t>
      </w:r>
    </w:p>
    <w:p>
      <w:pPr>
        <w:spacing w:after="0" w:line="19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3E474E"/>
        </w:rPr>
        <w:t>As part of or annual self-evaluation, the Company's Corporate Secretary interviews each independent director regarding the performance of the full Board and each committee. Directors fill out questionnaires that cover a range of topics, such as overall board performance, structure, composition, communication and interaction with management. A summary of the assessment results is provided by the Corporate Secretary to the committee Chairman, independent Lead Director, and then reviewed with the full Board. The Board discusses areas of improvement and changes are implemented as appropriate.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1478A3"/>
        </w:rPr>
        <w:t>Role of the Board in Risk Oversight</w:t>
      </w:r>
    </w:p>
    <w:p>
      <w:pPr>
        <w:spacing w:after="0" w:line="5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3E474E"/>
        </w:rPr>
        <w:t>Our Board has overall responsibility for risk oversight with a focus on the more significant risks facing our Company and reviews and oversees our Enterprise Risk Management Program, which is a program designed to effectively and efficiently identify and assess management's visibility into critical company risks and to facilitate the incorporation of risk considerations into decision making. The Enterprise Risk Management program does this by clearly defining risks facing the Company and bringing together executive management and the Board to discuss these risks. This promotes visibility and constructive dialogue around risk at the executive management and Board level and facilitates appropriate risk response strategies.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3E474E"/>
        </w:rPr>
        <w:t>Each of the Board's committees also assists the Board in this oversight with respect to the following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24</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747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140" w:hanging="328"/>
        <w:spacing w:after="0" w:line="265" w:lineRule="auto"/>
        <w:tabs>
          <w:tab w:leader="none" w:pos="609" w:val="left"/>
        </w:tabs>
        <w:numPr>
          <w:ilvl w:val="0"/>
          <w:numId w:val="61"/>
        </w:numPr>
        <w:rPr>
          <w:rFonts w:ascii="Arial" w:cs="Arial" w:eastAsia="Arial" w:hAnsi="Arial"/>
          <w:sz w:val="16"/>
          <w:szCs w:val="16"/>
          <w:color w:val="3E474E"/>
        </w:rPr>
      </w:pPr>
      <w:r>
        <w:rPr>
          <w:rFonts w:ascii="Arial" w:cs="Arial" w:eastAsia="Arial" w:hAnsi="Arial"/>
          <w:sz w:val="16"/>
          <w:szCs w:val="16"/>
          <w:color w:val="3E474E"/>
        </w:rPr>
        <w:t>The Audit Committee has the responsibility to consider and discuss our major financial and cybersecurity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w:t>
      </w:r>
    </w:p>
    <w:p>
      <w:pPr>
        <w:spacing w:after="0" w:line="213" w:lineRule="exact"/>
        <w:rPr>
          <w:rFonts w:ascii="Arial" w:cs="Arial" w:eastAsia="Arial" w:hAnsi="Arial"/>
          <w:sz w:val="16"/>
          <w:szCs w:val="16"/>
          <w:color w:val="3E474E"/>
        </w:rPr>
      </w:pPr>
    </w:p>
    <w:p>
      <w:pPr>
        <w:ind w:left="660" w:right="180" w:hanging="328"/>
        <w:spacing w:after="0" w:line="266" w:lineRule="auto"/>
        <w:tabs>
          <w:tab w:leader="none" w:pos="609" w:val="left"/>
        </w:tabs>
        <w:numPr>
          <w:ilvl w:val="0"/>
          <w:numId w:val="61"/>
        </w:numPr>
        <w:rPr>
          <w:rFonts w:ascii="Arial" w:cs="Arial" w:eastAsia="Arial" w:hAnsi="Arial"/>
          <w:sz w:val="16"/>
          <w:szCs w:val="16"/>
          <w:color w:val="3E474E"/>
        </w:rPr>
      </w:pPr>
      <w:r>
        <w:rPr>
          <w:rFonts w:ascii="Arial" w:cs="Arial" w:eastAsia="Arial" w:hAnsi="Arial"/>
          <w:sz w:val="16"/>
          <w:szCs w:val="16"/>
          <w:color w:val="3E474E"/>
        </w:rPr>
        <w:t>The Nominating and Corporate Governance Committee monitors the effectiveness of our corporate governance guidelines, including whether they are successful in preventing illegal or improper liability-creating conduct. This committee also monitors the effectiveness of our sustainability initiatives.</w:t>
      </w:r>
    </w:p>
    <w:p>
      <w:pPr>
        <w:spacing w:after="0" w:line="211" w:lineRule="exact"/>
        <w:rPr>
          <w:rFonts w:ascii="Arial" w:cs="Arial" w:eastAsia="Arial" w:hAnsi="Arial"/>
          <w:sz w:val="16"/>
          <w:szCs w:val="16"/>
          <w:color w:val="3E474E"/>
        </w:rPr>
      </w:pPr>
    </w:p>
    <w:p>
      <w:pPr>
        <w:ind w:left="660" w:right="440" w:hanging="328"/>
        <w:spacing w:after="0" w:line="286" w:lineRule="auto"/>
        <w:tabs>
          <w:tab w:leader="none" w:pos="609" w:val="left"/>
        </w:tabs>
        <w:numPr>
          <w:ilvl w:val="0"/>
          <w:numId w:val="61"/>
        </w:numPr>
        <w:rPr>
          <w:rFonts w:ascii="Arial" w:cs="Arial" w:eastAsia="Arial" w:hAnsi="Arial"/>
          <w:sz w:val="16"/>
          <w:szCs w:val="16"/>
          <w:color w:val="3E474E"/>
        </w:rPr>
      </w:pPr>
      <w:r>
        <w:rPr>
          <w:rFonts w:ascii="Arial" w:cs="Arial" w:eastAsia="Arial" w:hAnsi="Arial"/>
          <w:sz w:val="16"/>
          <w:szCs w:val="16"/>
          <w:color w:val="3E474E"/>
        </w:rPr>
        <w:t>The Compensation Committee assesses and monitors whether any of our compensation policies and programs has the potential to encourage excessive risk-taking.</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3E474E"/>
        </w:rPr>
        <w:t>By assigning such responsibilities, the Board believes it can more effectively identify and address risks. Throughout the year, the Board, and each of the committees, review and discuss specific risk topics in significant detail in their respective meetings with our senior management team.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1478A3"/>
        </w:rPr>
        <w:t>Board Committees</w:t>
      </w:r>
    </w:p>
    <w:p>
      <w:pPr>
        <w:spacing w:after="0" w:line="4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3E474E"/>
        </w:rPr>
        <w:t>Our Board of Directors has established three standing committees: the Audit Committee, the Compensation Committee, and the Nominating and Corporate Governance Committee. The principal functions of each committee are described below. We comply with the listing requirements and other rules and regulations of the NYSE, as amended or modified from time to time, and each of these committees is comprised exclusively of independent directors. Additionally, our Board may from time to time establish certain other committees to facilitate the management of our company. Members of these committees are elected annually by the Board. The charters of each of these committees are available on our website at https://ir.ahrealtytrust.com.</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3E474E"/>
        </w:rPr>
        <w:t xml:space="preserve">For the Committee Assignments, please see page </w:t>
      </w:r>
      <w:r>
        <w:rPr>
          <w:rFonts w:ascii="Arial" w:cs="Arial" w:eastAsia="Arial" w:hAnsi="Arial"/>
          <w:sz w:val="16"/>
          <w:szCs w:val="16"/>
          <w:u w:val="single" w:color="auto"/>
          <w:color w:val="0000FF"/>
        </w:rPr>
        <w:t>9</w:t>
      </w:r>
      <w:r>
        <w:rPr>
          <w:rFonts w:ascii="Arial" w:cs="Arial" w:eastAsia="Arial" w:hAnsi="Arial"/>
          <w:sz w:val="16"/>
          <w:szCs w:val="16"/>
          <w:color w:val="3E474E"/>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AUDIT COMMITTEE</w:t>
      </w:r>
    </w:p>
    <w:p>
      <w:pPr>
        <w:spacing w:after="0" w:line="11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3E474E"/>
        </w:rPr>
        <w:t>The Audit Committee is comprised of Messrs. Carroll, Cherry, Gartman and Wimbush with Mr. Carroll serving as chairperson. Each member of the Audit Committee qualifies as an “audit committee financial expert” as that term is defined by the applicable SEC regulations. The Board determined that each of the Audit Committee members is “financially literate” as that term is defined by the NYSE corporate governance listing standards, and the Board has determined that each of the directors serving on the Audit Committee is “independent” within the meaning of the applicable rules of the SEC and the NYSE listing standards. We adopted an Audit Committee charter, which details the principal functions of the Audit Committee, including oversight related to:</w:t>
      </w:r>
    </w:p>
    <w:p>
      <w:pPr>
        <w:spacing w:after="0" w:line="199"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6"/>
          <w:szCs w:val="16"/>
          <w:color w:val="3E474E"/>
        </w:rPr>
      </w:pPr>
      <w:r>
        <w:rPr>
          <w:rFonts w:ascii="Arial" w:cs="Arial" w:eastAsia="Arial" w:hAnsi="Arial"/>
          <w:sz w:val="16"/>
          <w:szCs w:val="16"/>
          <w:color w:val="3E474E"/>
        </w:rPr>
        <w:t>Assists the Board in its oversight of:</w:t>
      </w:r>
    </w:p>
    <w:p>
      <w:pPr>
        <w:spacing w:after="0" w:line="30" w:lineRule="exact"/>
        <w:rPr>
          <w:rFonts w:ascii="Arial" w:cs="Arial" w:eastAsia="Arial" w:hAnsi="Arial"/>
          <w:sz w:val="16"/>
          <w:szCs w:val="16"/>
          <w:color w:val="3E474E"/>
        </w:rPr>
      </w:pPr>
    </w:p>
    <w:p>
      <w:pPr>
        <w:ind w:left="880" w:hanging="224"/>
        <w:spacing w:after="0"/>
        <w:tabs>
          <w:tab w:leader="none" w:pos="880" w:val="left"/>
        </w:tabs>
        <w:numPr>
          <w:ilvl w:val="1"/>
          <w:numId w:val="62"/>
        </w:numPr>
        <w:rPr>
          <w:rFonts w:ascii="Arial" w:cs="Arial" w:eastAsia="Arial" w:hAnsi="Arial"/>
          <w:sz w:val="16"/>
          <w:szCs w:val="16"/>
          <w:color w:val="3E474E"/>
        </w:rPr>
      </w:pPr>
      <w:r>
        <w:rPr>
          <w:rFonts w:ascii="Arial" w:cs="Arial" w:eastAsia="Arial" w:hAnsi="Arial"/>
          <w:sz w:val="16"/>
          <w:szCs w:val="16"/>
          <w:color w:val="3E474E"/>
        </w:rPr>
        <w:t>the integrity of our financial statements</w:t>
      </w:r>
    </w:p>
    <w:p>
      <w:pPr>
        <w:spacing w:after="0" w:line="8" w:lineRule="exact"/>
        <w:rPr>
          <w:rFonts w:ascii="Arial" w:cs="Arial" w:eastAsia="Arial" w:hAnsi="Arial"/>
          <w:sz w:val="16"/>
          <w:szCs w:val="16"/>
          <w:color w:val="3E474E"/>
        </w:rPr>
      </w:pPr>
    </w:p>
    <w:p>
      <w:pPr>
        <w:ind w:left="880" w:hanging="224"/>
        <w:spacing w:after="0"/>
        <w:tabs>
          <w:tab w:leader="none" w:pos="880" w:val="left"/>
        </w:tabs>
        <w:numPr>
          <w:ilvl w:val="1"/>
          <w:numId w:val="62"/>
        </w:numPr>
        <w:rPr>
          <w:rFonts w:ascii="Arial" w:cs="Arial" w:eastAsia="Arial" w:hAnsi="Arial"/>
          <w:sz w:val="16"/>
          <w:szCs w:val="16"/>
          <w:color w:val="3E474E"/>
        </w:rPr>
      </w:pPr>
      <w:r>
        <w:rPr>
          <w:rFonts w:ascii="Arial" w:cs="Arial" w:eastAsia="Arial" w:hAnsi="Arial"/>
          <w:sz w:val="16"/>
          <w:szCs w:val="16"/>
          <w:color w:val="3E474E"/>
        </w:rPr>
        <w:t>our accounting and reporting processes and controls</w:t>
      </w:r>
    </w:p>
    <w:p>
      <w:pPr>
        <w:spacing w:after="0" w:line="14" w:lineRule="exact"/>
        <w:rPr>
          <w:rFonts w:ascii="Arial" w:cs="Arial" w:eastAsia="Arial" w:hAnsi="Arial"/>
          <w:sz w:val="16"/>
          <w:szCs w:val="16"/>
          <w:color w:val="3E474E"/>
        </w:rPr>
      </w:pPr>
    </w:p>
    <w:p>
      <w:pPr>
        <w:ind w:left="880" w:hanging="224"/>
        <w:spacing w:after="0"/>
        <w:tabs>
          <w:tab w:leader="none" w:pos="880" w:val="left"/>
        </w:tabs>
        <w:numPr>
          <w:ilvl w:val="1"/>
          <w:numId w:val="62"/>
        </w:numPr>
        <w:rPr>
          <w:rFonts w:ascii="Arial" w:cs="Arial" w:eastAsia="Arial" w:hAnsi="Arial"/>
          <w:sz w:val="16"/>
          <w:szCs w:val="16"/>
          <w:color w:val="3E474E"/>
        </w:rPr>
      </w:pPr>
      <w:r>
        <w:rPr>
          <w:rFonts w:ascii="Arial" w:cs="Arial" w:eastAsia="Arial" w:hAnsi="Arial"/>
          <w:sz w:val="16"/>
          <w:szCs w:val="16"/>
          <w:color w:val="3E474E"/>
        </w:rPr>
        <w:t>REIT and other tax compliance</w:t>
      </w:r>
    </w:p>
    <w:p>
      <w:pPr>
        <w:spacing w:after="0" w:line="8" w:lineRule="exact"/>
        <w:rPr>
          <w:rFonts w:ascii="Arial" w:cs="Arial" w:eastAsia="Arial" w:hAnsi="Arial"/>
          <w:sz w:val="16"/>
          <w:szCs w:val="16"/>
          <w:color w:val="3E474E"/>
        </w:rPr>
      </w:pPr>
    </w:p>
    <w:p>
      <w:pPr>
        <w:ind w:left="880" w:hanging="224"/>
        <w:spacing w:after="0"/>
        <w:tabs>
          <w:tab w:leader="none" w:pos="880" w:val="left"/>
        </w:tabs>
        <w:numPr>
          <w:ilvl w:val="1"/>
          <w:numId w:val="62"/>
        </w:numPr>
        <w:rPr>
          <w:rFonts w:ascii="Arial" w:cs="Arial" w:eastAsia="Arial" w:hAnsi="Arial"/>
          <w:sz w:val="16"/>
          <w:szCs w:val="16"/>
          <w:color w:val="3E474E"/>
        </w:rPr>
      </w:pPr>
      <w:r>
        <w:rPr>
          <w:rFonts w:ascii="Arial" w:cs="Arial" w:eastAsia="Arial" w:hAnsi="Arial"/>
          <w:sz w:val="16"/>
          <w:szCs w:val="16"/>
          <w:color w:val="3E474E"/>
        </w:rPr>
        <w:t>our internal audit functions</w:t>
      </w:r>
    </w:p>
    <w:p>
      <w:pPr>
        <w:spacing w:after="0" w:line="5" w:lineRule="exact"/>
        <w:rPr>
          <w:rFonts w:ascii="Arial" w:cs="Arial" w:eastAsia="Arial" w:hAnsi="Arial"/>
          <w:sz w:val="16"/>
          <w:szCs w:val="16"/>
          <w:color w:val="3E474E"/>
        </w:rPr>
      </w:pPr>
    </w:p>
    <w:p>
      <w:pPr>
        <w:ind w:left="880" w:hanging="224"/>
        <w:spacing w:after="0"/>
        <w:tabs>
          <w:tab w:leader="none" w:pos="880" w:val="left"/>
        </w:tabs>
        <w:numPr>
          <w:ilvl w:val="1"/>
          <w:numId w:val="62"/>
        </w:numPr>
        <w:rPr>
          <w:rFonts w:ascii="Arial" w:cs="Arial" w:eastAsia="Arial" w:hAnsi="Arial"/>
          <w:sz w:val="16"/>
          <w:szCs w:val="16"/>
          <w:color w:val="3E474E"/>
        </w:rPr>
      </w:pPr>
      <w:r>
        <w:rPr>
          <w:rFonts w:ascii="Arial" w:cs="Arial" w:eastAsia="Arial" w:hAnsi="Arial"/>
          <w:sz w:val="16"/>
          <w:szCs w:val="16"/>
          <w:color w:val="3E474E"/>
        </w:rPr>
        <w:t>compliance with financial, legal, and regulatory requirement</w:t>
      </w:r>
    </w:p>
    <w:p>
      <w:pPr>
        <w:spacing w:after="0" w:line="15" w:lineRule="exact"/>
        <w:rPr>
          <w:sz w:val="20"/>
          <w:szCs w:val="20"/>
          <w:color w:val="auto"/>
        </w:rPr>
      </w:pPr>
    </w:p>
    <w:p>
      <w:pPr>
        <w:ind w:left="840" w:hanging="184"/>
        <w:spacing w:after="0"/>
        <w:tabs>
          <w:tab w:leader="none" w:pos="840" w:val="left"/>
        </w:tabs>
        <w:numPr>
          <w:ilvl w:val="1"/>
          <w:numId w:val="63"/>
        </w:numPr>
        <w:rPr>
          <w:rFonts w:ascii="Arial" w:cs="Arial" w:eastAsia="Arial" w:hAnsi="Arial"/>
          <w:sz w:val="16"/>
          <w:szCs w:val="16"/>
          <w:color w:val="3E474E"/>
        </w:rPr>
      </w:pPr>
      <w:r>
        <w:rPr>
          <w:rFonts w:ascii="Arial" w:cs="Arial" w:eastAsia="Arial" w:hAnsi="Arial"/>
          <w:sz w:val="16"/>
          <w:szCs w:val="16"/>
          <w:color w:val="3E474E"/>
        </w:rPr>
        <w:t>our information security program;</w:t>
      </w:r>
    </w:p>
    <w:p>
      <w:pPr>
        <w:spacing w:after="0" w:line="8" w:lineRule="exact"/>
        <w:rPr>
          <w:rFonts w:ascii="Arial" w:cs="Arial" w:eastAsia="Arial" w:hAnsi="Arial"/>
          <w:sz w:val="16"/>
          <w:szCs w:val="16"/>
          <w:color w:val="3E474E"/>
        </w:rPr>
      </w:pPr>
    </w:p>
    <w:p>
      <w:pPr>
        <w:ind w:left="840" w:hanging="184"/>
        <w:spacing w:after="0"/>
        <w:tabs>
          <w:tab w:leader="none" w:pos="840" w:val="left"/>
        </w:tabs>
        <w:numPr>
          <w:ilvl w:val="1"/>
          <w:numId w:val="63"/>
        </w:numPr>
        <w:rPr>
          <w:rFonts w:ascii="Arial" w:cs="Arial" w:eastAsia="Arial" w:hAnsi="Arial"/>
          <w:sz w:val="16"/>
          <w:szCs w:val="16"/>
          <w:color w:val="3E474E"/>
        </w:rPr>
      </w:pPr>
      <w:r>
        <w:rPr>
          <w:rFonts w:ascii="Arial" w:cs="Arial" w:eastAsia="Arial" w:hAnsi="Arial"/>
          <w:sz w:val="16"/>
          <w:szCs w:val="16"/>
          <w:color w:val="3E474E"/>
        </w:rPr>
        <w:t>the evaluation of the qualifications, independence, and performance of our independent registered public accounting firm;</w:t>
      </w:r>
    </w:p>
    <w:p>
      <w:pPr>
        <w:spacing w:after="0" w:line="14" w:lineRule="exact"/>
        <w:rPr>
          <w:rFonts w:ascii="Arial" w:cs="Arial" w:eastAsia="Arial" w:hAnsi="Arial"/>
          <w:sz w:val="16"/>
          <w:szCs w:val="16"/>
          <w:color w:val="3E474E"/>
        </w:rPr>
      </w:pPr>
    </w:p>
    <w:p>
      <w:pPr>
        <w:ind w:left="840" w:hanging="184"/>
        <w:spacing w:after="0"/>
        <w:tabs>
          <w:tab w:leader="none" w:pos="840" w:val="left"/>
        </w:tabs>
        <w:numPr>
          <w:ilvl w:val="1"/>
          <w:numId w:val="63"/>
        </w:numPr>
        <w:rPr>
          <w:rFonts w:ascii="Arial" w:cs="Arial" w:eastAsia="Arial" w:hAnsi="Arial"/>
          <w:sz w:val="16"/>
          <w:szCs w:val="16"/>
          <w:color w:val="3E474E"/>
        </w:rPr>
      </w:pPr>
      <w:r>
        <w:rPr>
          <w:rFonts w:ascii="Arial" w:cs="Arial" w:eastAsia="Arial" w:hAnsi="Arial"/>
          <w:sz w:val="16"/>
          <w:szCs w:val="16"/>
          <w:color w:val="3E474E"/>
        </w:rPr>
        <w:t xml:space="preserve">approves the Audit Committee Report as shown on page </w:t>
      </w:r>
      <w:r>
        <w:rPr>
          <w:rFonts w:ascii="Arial" w:cs="Arial" w:eastAsia="Arial" w:hAnsi="Arial"/>
          <w:sz w:val="16"/>
          <w:szCs w:val="16"/>
          <w:u w:val="single" w:color="auto"/>
          <w:color w:val="0000FF"/>
        </w:rPr>
        <w:t>34</w:t>
      </w:r>
      <w:r>
        <w:rPr>
          <w:rFonts w:ascii="Arial" w:cs="Arial" w:eastAsia="Arial" w:hAnsi="Arial"/>
          <w:sz w:val="16"/>
          <w:szCs w:val="16"/>
          <w:color w:val="3E474E"/>
        </w:rPr>
        <w:t>, the report further details the Audit Committee's responsibilities.</w:t>
      </w:r>
    </w:p>
    <w:p>
      <w:pPr>
        <w:spacing w:after="0" w:line="8" w:lineRule="exact"/>
        <w:rPr>
          <w:rFonts w:ascii="Arial" w:cs="Arial" w:eastAsia="Arial" w:hAnsi="Arial"/>
          <w:sz w:val="16"/>
          <w:szCs w:val="16"/>
          <w:color w:val="3E474E"/>
        </w:rPr>
      </w:pPr>
    </w:p>
    <w:p>
      <w:pPr>
        <w:ind w:left="240" w:right="60" w:hanging="232"/>
        <w:spacing w:after="0" w:line="255" w:lineRule="auto"/>
        <w:tabs>
          <w:tab w:leader="none" w:pos="191" w:val="left"/>
        </w:tabs>
        <w:numPr>
          <w:ilvl w:val="0"/>
          <w:numId w:val="63"/>
        </w:numPr>
        <w:rPr>
          <w:rFonts w:ascii="Arial" w:cs="Arial" w:eastAsia="Arial" w:hAnsi="Arial"/>
          <w:sz w:val="16"/>
          <w:szCs w:val="16"/>
          <w:color w:val="3E474E"/>
        </w:rPr>
      </w:pPr>
      <w:r>
        <w:rPr>
          <w:rFonts w:ascii="Arial" w:cs="Arial" w:eastAsia="Arial" w:hAnsi="Arial"/>
          <w:sz w:val="16"/>
          <w:szCs w:val="16"/>
          <w:color w:val="3E474E"/>
        </w:rPr>
        <w:t>supervise the Enterprise Risk Management program. Our Enterprise Risk Management Program identifies and assesses the major risks we face and includes the development of strategies for controlling, mitigating and monitoring those risks. As part of this process, on an annual basis, on behalf of the Audit Committee, the Company's internal audit function reviews and assesses the Company's Enterprise Risk Management Program, including how risks are identified, managed, measured, monitored and reported. The identified risks and risk mitigation strategies are validated with management and presented to the Audit Committee and the Board. These risks and the Company's mitigation efforts are monitored throughout the year.</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CYBERSECURITY GOVERNANCE HIGHLIGHTS</w:t>
      </w:r>
    </w:p>
    <w:p>
      <w:pPr>
        <w:spacing w:after="0" w:line="113"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3E474E"/>
        </w:rPr>
        <w:t>The Board considers cybersecurity risk as part of its risk oversight function, and the Audit Committee oversees the Company's cybersecurity and other information technology risk exposures and the steps taken by management to monitor and control such exposures. Our cybersecurity risk profile and cybersecurity program status are reported to the Audit Committee at least annually. In addition, management updates the Audit Committee, as necessary, regarding any material cybersecurity incidents, as well as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25</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747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3E474E"/>
        </w:rPr>
        <w:t>incidents with less impact potential. The Audit Committee reports to the Board regarding its activities, including those related to cybersecurity, and the Board also receives briefings from management on our cybersecurity risk management program as appropriate.</w:t>
      </w:r>
    </w:p>
    <w:p>
      <w:pPr>
        <w:spacing w:after="0" w:line="19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3E474E"/>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E474E"/>
        </w:rPr>
        <w:t>During the fiscal year ended December 31, 2025, the Audit Committee met eight times.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COMPENSATION COMMITTEE</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6"/>
          <w:szCs w:val="16"/>
          <w:color w:val="3E474E"/>
        </w:rPr>
        <w:t>The Compensation Committee is comprised of Messrs. Allen and Cherry and Ms. Boykin, with Mr. Cherry serving as chairperson. The Board has determined that each of the directors serving on the Compensation Committee is “independent” within the meaning of the applicable rules of the SEC and the NYSE listing standards. We adopted a Compensation Committee charter, which details the principal authority and functions of the Compensation Committee, including:</w:t>
      </w:r>
    </w:p>
    <w:p>
      <w:pPr>
        <w:spacing w:after="0" w:line="396" w:lineRule="exact"/>
        <w:rPr>
          <w:sz w:val="20"/>
          <w:szCs w:val="20"/>
          <w:color w:val="auto"/>
        </w:rPr>
      </w:pPr>
    </w:p>
    <w:p>
      <w:pPr>
        <w:jc w:val="both"/>
        <w:ind w:left="240" w:right="20" w:hanging="232"/>
        <w:spacing w:after="0" w:line="259" w:lineRule="auto"/>
        <w:tabs>
          <w:tab w:leader="none" w:pos="191" w:val="left"/>
        </w:tabs>
        <w:numPr>
          <w:ilvl w:val="0"/>
          <w:numId w:val="64"/>
        </w:numPr>
        <w:rPr>
          <w:rFonts w:ascii="Arial" w:cs="Arial" w:eastAsia="Arial" w:hAnsi="Arial"/>
          <w:sz w:val="16"/>
          <w:szCs w:val="16"/>
          <w:color w:val="3E474E"/>
        </w:rPr>
      </w:pPr>
      <w:r>
        <w:rPr>
          <w:rFonts w:ascii="Arial" w:cs="Arial" w:eastAsia="Arial" w:hAnsi="Arial"/>
          <w:sz w:val="16"/>
          <w:szCs w:val="16"/>
          <w:color w:val="3E474E"/>
        </w:rPr>
        <w:t>reviewing and approving on an annual basis the corporate goals and objectives relevant to our chief executive officer’s compensation, evaluating our chief executive officer’s performance in light of such goals and objectives, and determining and approving the remuneration of our chief executive officer based on such evaluation;</w:t>
      </w:r>
    </w:p>
    <w:p>
      <w:pPr>
        <w:ind w:left="180" w:hanging="172"/>
        <w:spacing w:after="0"/>
        <w:tabs>
          <w:tab w:leader="none" w:pos="180" w:val="left"/>
        </w:tabs>
        <w:numPr>
          <w:ilvl w:val="0"/>
          <w:numId w:val="64"/>
        </w:numPr>
        <w:rPr>
          <w:rFonts w:ascii="Arial" w:cs="Arial" w:eastAsia="Arial" w:hAnsi="Arial"/>
          <w:sz w:val="16"/>
          <w:szCs w:val="16"/>
          <w:color w:val="3E474E"/>
        </w:rPr>
      </w:pPr>
      <w:r>
        <w:rPr>
          <w:rFonts w:ascii="Arial" w:cs="Arial" w:eastAsia="Arial" w:hAnsi="Arial"/>
          <w:sz w:val="16"/>
          <w:szCs w:val="16"/>
          <w:color w:val="3E474E"/>
        </w:rPr>
        <w:t>reviewing and approving the compensation of all of our other officers;</w:t>
      </w:r>
    </w:p>
    <w:p>
      <w:pPr>
        <w:spacing w:after="0" w:line="14" w:lineRule="exact"/>
        <w:rPr>
          <w:rFonts w:ascii="Arial" w:cs="Arial" w:eastAsia="Arial" w:hAnsi="Arial"/>
          <w:sz w:val="16"/>
          <w:szCs w:val="16"/>
          <w:color w:val="3E474E"/>
        </w:rPr>
      </w:pPr>
    </w:p>
    <w:p>
      <w:pPr>
        <w:ind w:left="180" w:hanging="172"/>
        <w:spacing w:after="0"/>
        <w:tabs>
          <w:tab w:leader="none" w:pos="180" w:val="left"/>
        </w:tabs>
        <w:numPr>
          <w:ilvl w:val="0"/>
          <w:numId w:val="64"/>
        </w:numPr>
        <w:rPr>
          <w:rFonts w:ascii="Arial" w:cs="Arial" w:eastAsia="Arial" w:hAnsi="Arial"/>
          <w:sz w:val="16"/>
          <w:szCs w:val="16"/>
          <w:color w:val="3E474E"/>
        </w:rPr>
      </w:pPr>
      <w:r>
        <w:rPr>
          <w:rFonts w:ascii="Arial" w:cs="Arial" w:eastAsia="Arial" w:hAnsi="Arial"/>
          <w:sz w:val="16"/>
          <w:szCs w:val="16"/>
          <w:color w:val="3E474E"/>
        </w:rPr>
        <w:t>reviewing our executive compensation policies and plans;</w:t>
      </w:r>
    </w:p>
    <w:p>
      <w:pPr>
        <w:spacing w:after="0" w:line="8" w:lineRule="exact"/>
        <w:rPr>
          <w:rFonts w:ascii="Arial" w:cs="Arial" w:eastAsia="Arial" w:hAnsi="Arial"/>
          <w:sz w:val="16"/>
          <w:szCs w:val="16"/>
          <w:color w:val="3E474E"/>
        </w:rPr>
      </w:pPr>
    </w:p>
    <w:p>
      <w:pPr>
        <w:ind w:left="180" w:hanging="172"/>
        <w:spacing w:after="0"/>
        <w:tabs>
          <w:tab w:leader="none" w:pos="180" w:val="left"/>
        </w:tabs>
        <w:numPr>
          <w:ilvl w:val="0"/>
          <w:numId w:val="64"/>
        </w:numPr>
        <w:rPr>
          <w:rFonts w:ascii="Arial" w:cs="Arial" w:eastAsia="Arial" w:hAnsi="Arial"/>
          <w:sz w:val="16"/>
          <w:szCs w:val="16"/>
          <w:color w:val="3E474E"/>
        </w:rPr>
      </w:pPr>
      <w:r>
        <w:rPr>
          <w:rFonts w:ascii="Arial" w:cs="Arial" w:eastAsia="Arial" w:hAnsi="Arial"/>
          <w:sz w:val="16"/>
          <w:szCs w:val="16"/>
          <w:color w:val="3E474E"/>
        </w:rPr>
        <w:t>implementing and administering our incentive compensation equity-based remuneration plans;</w:t>
      </w:r>
    </w:p>
    <w:p>
      <w:pPr>
        <w:spacing w:after="0" w:line="14" w:lineRule="exact"/>
        <w:rPr>
          <w:rFonts w:ascii="Arial" w:cs="Arial" w:eastAsia="Arial" w:hAnsi="Arial"/>
          <w:sz w:val="16"/>
          <w:szCs w:val="16"/>
          <w:color w:val="3E474E"/>
        </w:rPr>
      </w:pPr>
    </w:p>
    <w:p>
      <w:pPr>
        <w:ind w:left="180" w:hanging="172"/>
        <w:spacing w:after="0"/>
        <w:tabs>
          <w:tab w:leader="none" w:pos="180" w:val="left"/>
        </w:tabs>
        <w:numPr>
          <w:ilvl w:val="0"/>
          <w:numId w:val="64"/>
        </w:numPr>
        <w:rPr>
          <w:rFonts w:ascii="Arial" w:cs="Arial" w:eastAsia="Arial" w:hAnsi="Arial"/>
          <w:sz w:val="16"/>
          <w:szCs w:val="16"/>
          <w:color w:val="3E474E"/>
        </w:rPr>
      </w:pPr>
      <w:r>
        <w:rPr>
          <w:rFonts w:ascii="Arial" w:cs="Arial" w:eastAsia="Arial" w:hAnsi="Arial"/>
          <w:sz w:val="16"/>
          <w:szCs w:val="16"/>
          <w:color w:val="3E474E"/>
        </w:rPr>
        <w:t>implementing and administering our incentive compensation clawback policy;</w:t>
      </w:r>
    </w:p>
    <w:p>
      <w:pPr>
        <w:spacing w:after="0" w:line="8" w:lineRule="exact"/>
        <w:rPr>
          <w:rFonts w:ascii="Arial" w:cs="Arial" w:eastAsia="Arial" w:hAnsi="Arial"/>
          <w:sz w:val="16"/>
          <w:szCs w:val="16"/>
          <w:color w:val="3E474E"/>
        </w:rPr>
      </w:pPr>
    </w:p>
    <w:p>
      <w:pPr>
        <w:ind w:left="180" w:hanging="172"/>
        <w:spacing w:after="0"/>
        <w:tabs>
          <w:tab w:leader="none" w:pos="180" w:val="left"/>
        </w:tabs>
        <w:numPr>
          <w:ilvl w:val="0"/>
          <w:numId w:val="64"/>
        </w:numPr>
        <w:rPr>
          <w:rFonts w:ascii="Arial" w:cs="Arial" w:eastAsia="Arial" w:hAnsi="Arial"/>
          <w:sz w:val="16"/>
          <w:szCs w:val="16"/>
          <w:color w:val="3E474E"/>
        </w:rPr>
      </w:pPr>
      <w:r>
        <w:rPr>
          <w:rFonts w:ascii="Arial" w:cs="Arial" w:eastAsia="Arial" w:hAnsi="Arial"/>
          <w:sz w:val="16"/>
          <w:szCs w:val="16"/>
          <w:color w:val="3E474E"/>
        </w:rPr>
        <w:t>assisting management in complying with our Proxy Statement and Annual Report disclosure requirements;</w:t>
      </w:r>
    </w:p>
    <w:p>
      <w:pPr>
        <w:spacing w:after="0" w:line="5" w:lineRule="exact"/>
        <w:rPr>
          <w:rFonts w:ascii="Arial" w:cs="Arial" w:eastAsia="Arial" w:hAnsi="Arial"/>
          <w:sz w:val="16"/>
          <w:szCs w:val="16"/>
          <w:color w:val="3E474E"/>
        </w:rPr>
      </w:pPr>
    </w:p>
    <w:p>
      <w:pPr>
        <w:ind w:left="180" w:hanging="172"/>
        <w:spacing w:after="0"/>
        <w:tabs>
          <w:tab w:leader="none" w:pos="180" w:val="left"/>
        </w:tabs>
        <w:numPr>
          <w:ilvl w:val="0"/>
          <w:numId w:val="64"/>
        </w:numPr>
        <w:rPr>
          <w:rFonts w:ascii="Arial" w:cs="Arial" w:eastAsia="Arial" w:hAnsi="Arial"/>
          <w:sz w:val="16"/>
          <w:szCs w:val="16"/>
          <w:color w:val="3E474E"/>
        </w:rPr>
      </w:pPr>
      <w:r>
        <w:rPr>
          <w:rFonts w:ascii="Arial" w:cs="Arial" w:eastAsia="Arial" w:hAnsi="Arial"/>
          <w:sz w:val="16"/>
          <w:szCs w:val="16"/>
          <w:color w:val="3E474E"/>
        </w:rPr>
        <w:t>to the extent required by applicable SEC rules, producing a report on executive compensation to be included in our annual Proxy Statement; and</w:t>
      </w:r>
    </w:p>
    <w:p>
      <w:pPr>
        <w:spacing w:after="0" w:line="14" w:lineRule="exact"/>
        <w:rPr>
          <w:rFonts w:ascii="Arial" w:cs="Arial" w:eastAsia="Arial" w:hAnsi="Arial"/>
          <w:sz w:val="16"/>
          <w:szCs w:val="16"/>
          <w:color w:val="3E474E"/>
        </w:rPr>
      </w:pPr>
    </w:p>
    <w:p>
      <w:pPr>
        <w:ind w:left="180" w:hanging="172"/>
        <w:spacing w:after="0"/>
        <w:tabs>
          <w:tab w:leader="none" w:pos="180" w:val="left"/>
        </w:tabs>
        <w:numPr>
          <w:ilvl w:val="0"/>
          <w:numId w:val="64"/>
        </w:numPr>
        <w:rPr>
          <w:rFonts w:ascii="Arial" w:cs="Arial" w:eastAsia="Arial" w:hAnsi="Arial"/>
          <w:sz w:val="16"/>
          <w:szCs w:val="16"/>
          <w:color w:val="3E474E"/>
        </w:rPr>
      </w:pPr>
      <w:r>
        <w:rPr>
          <w:rFonts w:ascii="Arial" w:cs="Arial" w:eastAsia="Arial" w:hAnsi="Arial"/>
          <w:sz w:val="16"/>
          <w:szCs w:val="16"/>
          <w:color w:val="3E474E"/>
        </w:rPr>
        <w:t>reviewing, evaluating, and recommending changes, if appropriate, to the remuneration for directors.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3E474E"/>
        </w:rPr>
        <w:t>For more information, see “Compensation Discussion and Analysis” contained elsewhere in this Proxy Statement.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3E474E"/>
        </w:rPr>
        <w:t>During the fiscal year ended December 31, 2025, the Compensation Committee met three times.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NOMINATING AND CORPORATE GOVERNANCE COMMITTEE</w:t>
      </w:r>
    </w:p>
    <w:p>
      <w:pPr>
        <w:spacing w:after="0" w:line="11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3E474E"/>
        </w:rPr>
        <w:t>The Nominating and Corporate Governance Committee is comprised of Ms. Boykin and Messrs. Allen, Cherry, and Wimbush, with Mr. Wimbush serving as chairperson. The Board has determined that each of the directors serving on the Nominating and Corporate Governance Committee is “independent” within the meaning of the applicable rules of the SEC and the NYSE listing standards. We adopted a Nominating and Corporate Governance Committee charter, which details the principal functions of the Nominating and Corporate Governance Committee, including:</w:t>
      </w:r>
    </w:p>
    <w:p>
      <w:pPr>
        <w:spacing w:after="0" w:line="195" w:lineRule="exact"/>
        <w:rPr>
          <w:sz w:val="20"/>
          <w:szCs w:val="20"/>
          <w:color w:val="auto"/>
        </w:rPr>
      </w:pPr>
    </w:p>
    <w:p>
      <w:pPr>
        <w:ind w:left="240" w:right="400" w:hanging="232"/>
        <w:spacing w:after="0" w:line="263" w:lineRule="auto"/>
        <w:tabs>
          <w:tab w:leader="none" w:pos="191" w:val="left"/>
        </w:tabs>
        <w:numPr>
          <w:ilvl w:val="0"/>
          <w:numId w:val="65"/>
        </w:numPr>
        <w:rPr>
          <w:rFonts w:ascii="Arial" w:cs="Arial" w:eastAsia="Arial" w:hAnsi="Arial"/>
          <w:sz w:val="16"/>
          <w:szCs w:val="16"/>
          <w:color w:val="3E474E"/>
        </w:rPr>
      </w:pPr>
      <w:r>
        <w:rPr>
          <w:rFonts w:ascii="Arial" w:cs="Arial" w:eastAsia="Arial" w:hAnsi="Arial"/>
          <w:sz w:val="16"/>
          <w:szCs w:val="16"/>
          <w:color w:val="3E474E"/>
        </w:rPr>
        <w:t>identifying and recommending to the full Board of Directors qualified candidates for election as directors and recommending nominees for election as directors at the annual meeting of stockholders;</w:t>
      </w:r>
    </w:p>
    <w:p>
      <w:pPr>
        <w:ind w:left="180" w:hanging="172"/>
        <w:spacing w:after="0"/>
        <w:tabs>
          <w:tab w:leader="none" w:pos="180" w:val="left"/>
        </w:tabs>
        <w:numPr>
          <w:ilvl w:val="0"/>
          <w:numId w:val="65"/>
        </w:numPr>
        <w:rPr>
          <w:rFonts w:ascii="Arial" w:cs="Arial" w:eastAsia="Arial" w:hAnsi="Arial"/>
          <w:sz w:val="16"/>
          <w:szCs w:val="16"/>
          <w:color w:val="3E474E"/>
        </w:rPr>
      </w:pPr>
      <w:r>
        <w:rPr>
          <w:rFonts w:ascii="Arial" w:cs="Arial" w:eastAsia="Arial" w:hAnsi="Arial"/>
          <w:sz w:val="16"/>
          <w:szCs w:val="16"/>
          <w:color w:val="3E474E"/>
        </w:rPr>
        <w:t>developing and recommending to the Board of Directors corporate governance guidelines; and implementing and monitoring such guidelines;</w:t>
      </w:r>
    </w:p>
    <w:p>
      <w:pPr>
        <w:spacing w:after="0" w:line="8" w:lineRule="exact"/>
        <w:rPr>
          <w:rFonts w:ascii="Arial" w:cs="Arial" w:eastAsia="Arial" w:hAnsi="Arial"/>
          <w:sz w:val="16"/>
          <w:szCs w:val="16"/>
          <w:color w:val="3E474E"/>
        </w:rPr>
      </w:pPr>
    </w:p>
    <w:p>
      <w:pPr>
        <w:ind w:left="180" w:hanging="172"/>
        <w:spacing w:after="0"/>
        <w:tabs>
          <w:tab w:leader="none" w:pos="180" w:val="left"/>
        </w:tabs>
        <w:numPr>
          <w:ilvl w:val="0"/>
          <w:numId w:val="65"/>
        </w:numPr>
        <w:rPr>
          <w:rFonts w:ascii="Arial" w:cs="Arial" w:eastAsia="Arial" w:hAnsi="Arial"/>
          <w:sz w:val="16"/>
          <w:szCs w:val="16"/>
          <w:color w:val="3E474E"/>
        </w:rPr>
      </w:pPr>
      <w:r>
        <w:rPr>
          <w:rFonts w:ascii="Arial" w:cs="Arial" w:eastAsia="Arial" w:hAnsi="Arial"/>
          <w:sz w:val="16"/>
          <w:szCs w:val="16"/>
          <w:color w:val="3E474E"/>
        </w:rPr>
        <w:t>recommending to the Board of Directors appropriate policies and initiatives developed by our Sustainability Committee;</w:t>
      </w:r>
    </w:p>
    <w:p>
      <w:pPr>
        <w:spacing w:after="0" w:line="14" w:lineRule="exact"/>
        <w:rPr>
          <w:rFonts w:ascii="Arial" w:cs="Arial" w:eastAsia="Arial" w:hAnsi="Arial"/>
          <w:sz w:val="16"/>
          <w:szCs w:val="16"/>
          <w:color w:val="3E474E"/>
        </w:rPr>
      </w:pPr>
    </w:p>
    <w:p>
      <w:pPr>
        <w:ind w:left="240" w:right="160" w:hanging="232"/>
        <w:spacing w:after="0" w:line="249" w:lineRule="auto"/>
        <w:tabs>
          <w:tab w:leader="none" w:pos="191" w:val="left"/>
        </w:tabs>
        <w:numPr>
          <w:ilvl w:val="0"/>
          <w:numId w:val="65"/>
        </w:numPr>
        <w:rPr>
          <w:rFonts w:ascii="Arial" w:cs="Arial" w:eastAsia="Arial" w:hAnsi="Arial"/>
          <w:sz w:val="16"/>
          <w:szCs w:val="16"/>
          <w:color w:val="3E474E"/>
        </w:rPr>
      </w:pPr>
      <w:r>
        <w:rPr>
          <w:rFonts w:ascii="Arial" w:cs="Arial" w:eastAsia="Arial" w:hAnsi="Arial"/>
          <w:sz w:val="16"/>
          <w:szCs w:val="16"/>
          <w:color w:val="3E474E"/>
        </w:rPr>
        <w:t>reviewing and making recommendations on matters involving the general operation of the Board of Directors, including board size and composition, and committee composition and structure;</w:t>
      </w:r>
    </w:p>
    <w:p>
      <w:pPr>
        <w:ind w:left="180" w:hanging="172"/>
        <w:spacing w:after="0"/>
        <w:tabs>
          <w:tab w:leader="none" w:pos="180" w:val="left"/>
        </w:tabs>
        <w:numPr>
          <w:ilvl w:val="0"/>
          <w:numId w:val="65"/>
        </w:numPr>
        <w:rPr>
          <w:rFonts w:ascii="Arial" w:cs="Arial" w:eastAsia="Arial" w:hAnsi="Arial"/>
          <w:sz w:val="16"/>
          <w:szCs w:val="16"/>
          <w:color w:val="3E474E"/>
        </w:rPr>
      </w:pPr>
      <w:r>
        <w:rPr>
          <w:rFonts w:ascii="Arial" w:cs="Arial" w:eastAsia="Arial" w:hAnsi="Arial"/>
          <w:sz w:val="16"/>
          <w:szCs w:val="16"/>
          <w:color w:val="3E474E"/>
        </w:rPr>
        <w:t>recommending to the Board of Directors nominees for each committee of the Board of Directors;</w:t>
      </w:r>
    </w:p>
    <w:p>
      <w:pPr>
        <w:spacing w:after="0" w:line="14" w:lineRule="exact"/>
        <w:rPr>
          <w:rFonts w:ascii="Arial" w:cs="Arial" w:eastAsia="Arial" w:hAnsi="Arial"/>
          <w:sz w:val="16"/>
          <w:szCs w:val="16"/>
          <w:color w:val="3E474E"/>
        </w:rPr>
      </w:pPr>
    </w:p>
    <w:p>
      <w:pPr>
        <w:ind w:left="240" w:right="500" w:hanging="232"/>
        <w:spacing w:after="0" w:line="249" w:lineRule="auto"/>
        <w:tabs>
          <w:tab w:leader="none" w:pos="191" w:val="left"/>
        </w:tabs>
        <w:numPr>
          <w:ilvl w:val="0"/>
          <w:numId w:val="65"/>
        </w:numPr>
        <w:rPr>
          <w:rFonts w:ascii="Arial" w:cs="Arial" w:eastAsia="Arial" w:hAnsi="Arial"/>
          <w:sz w:val="16"/>
          <w:szCs w:val="16"/>
          <w:color w:val="3E474E"/>
        </w:rPr>
      </w:pPr>
      <w:r>
        <w:rPr>
          <w:rFonts w:ascii="Arial" w:cs="Arial" w:eastAsia="Arial" w:hAnsi="Arial"/>
          <w:sz w:val="16"/>
          <w:szCs w:val="16"/>
          <w:color w:val="3E474E"/>
        </w:rPr>
        <w:t>annually facilitating the assessment of the Board of Directors’ performance as a whole and of the individual directors, as required by applicable law, regulations, and the NYSE corporate governance listing standards; and</w:t>
      </w:r>
    </w:p>
    <w:p>
      <w:pPr>
        <w:ind w:left="180" w:hanging="172"/>
        <w:spacing w:after="0"/>
        <w:tabs>
          <w:tab w:leader="none" w:pos="180" w:val="left"/>
        </w:tabs>
        <w:numPr>
          <w:ilvl w:val="0"/>
          <w:numId w:val="65"/>
        </w:numPr>
        <w:rPr>
          <w:rFonts w:ascii="Arial" w:cs="Arial" w:eastAsia="Arial" w:hAnsi="Arial"/>
          <w:sz w:val="16"/>
          <w:szCs w:val="16"/>
          <w:color w:val="3E474E"/>
        </w:rPr>
      </w:pPr>
      <w:r>
        <w:rPr>
          <w:rFonts w:ascii="Arial" w:cs="Arial" w:eastAsia="Arial" w:hAnsi="Arial"/>
          <w:sz w:val="16"/>
          <w:szCs w:val="16"/>
          <w:color w:val="3E474E"/>
        </w:rPr>
        <w:t>overseeing the Board of Directors’ evaluation of management.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3E474E"/>
        </w:rPr>
        <w:t>During the fiscal year ended December 31, 2025, the Nominating and Corporate Governance Committee met two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1341120</wp:posOffset>
            </wp:positionV>
            <wp:extent cx="825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1341120</wp:posOffset>
            </wp:positionV>
            <wp:extent cx="8255"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26</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747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478A3"/>
        </w:rPr>
        <w:t>Stock Ownership Guidelines</w:t>
      </w:r>
    </w:p>
    <w:p>
      <w:pPr>
        <w:spacing w:after="0" w:line="29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3E474E"/>
        </w:rPr>
        <w:t>The Company has stock ownership guidelines that require all of our NEOs and directors to own shares of our common stock with a value equal to a certain multiple of his or her annual retainer or base salary. Our Board believes that the Stock Ownership Guidelines promote (i) the further alignment of the interests of such individuals and the Company’s stockholders, (ii) the creation of value for the Company’s stockholders, and (iii) the accountability of such individuals for the performance of the Company. Directors and NEOs have five years from the date they become a member of the Board or begin to serve in an officer role listed below to meet the ownership level.</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00" w:type="dxa"/>
            <w:vAlign w:val="bottom"/>
          </w:tcPr>
          <w:p>
            <w:pPr>
              <w:spacing w:after="0"/>
              <w:rPr>
                <w:sz w:val="20"/>
                <w:szCs w:val="20"/>
                <w:color w:val="auto"/>
              </w:rPr>
            </w:pPr>
            <w:r>
              <w:rPr>
                <w:rFonts w:ascii="Arial" w:cs="Arial" w:eastAsia="Arial" w:hAnsi="Arial"/>
                <w:sz w:val="16"/>
                <w:szCs w:val="16"/>
                <w:color w:val="3E474E"/>
              </w:rPr>
              <w:t>Covered Person</w:t>
            </w:r>
          </w:p>
        </w:tc>
        <w:tc>
          <w:tcPr>
            <w:tcW w:w="2140" w:type="dxa"/>
            <w:vAlign w:val="bottom"/>
          </w:tcPr>
          <w:p>
            <w:pPr>
              <w:ind w:left="240"/>
              <w:spacing w:after="0"/>
              <w:rPr>
                <w:sz w:val="20"/>
                <w:szCs w:val="20"/>
                <w:color w:val="auto"/>
              </w:rPr>
            </w:pPr>
            <w:r>
              <w:rPr>
                <w:rFonts w:ascii="Arial" w:cs="Arial" w:eastAsia="Arial" w:hAnsi="Arial"/>
                <w:sz w:val="16"/>
                <w:szCs w:val="16"/>
                <w:color w:val="3E474E"/>
              </w:rPr>
              <w:t>Multiple of Salary/Retainer</w:t>
            </w:r>
          </w:p>
        </w:tc>
      </w:tr>
      <w:tr>
        <w:trPr>
          <w:trHeight w:val="243"/>
        </w:trPr>
        <w:tc>
          <w:tcPr>
            <w:tcW w:w="2000" w:type="dxa"/>
            <w:vAlign w:val="bottom"/>
          </w:tcPr>
          <w:p>
            <w:pPr>
              <w:spacing w:after="0"/>
              <w:rPr>
                <w:sz w:val="20"/>
                <w:szCs w:val="20"/>
                <w:color w:val="auto"/>
              </w:rPr>
            </w:pPr>
            <w:r>
              <w:rPr>
                <w:rFonts w:ascii="Arial" w:cs="Arial" w:eastAsia="Arial" w:hAnsi="Arial"/>
                <w:sz w:val="16"/>
                <w:szCs w:val="16"/>
                <w:color w:val="3E474E"/>
              </w:rPr>
              <w:t>Chief Executive Officer</w:t>
            </w:r>
          </w:p>
        </w:tc>
        <w:tc>
          <w:tcPr>
            <w:tcW w:w="2140" w:type="dxa"/>
            <w:vAlign w:val="bottom"/>
          </w:tcPr>
          <w:p>
            <w:pPr>
              <w:ind w:left="240"/>
              <w:spacing w:after="0"/>
              <w:rPr>
                <w:sz w:val="20"/>
                <w:szCs w:val="20"/>
                <w:color w:val="auto"/>
              </w:rPr>
            </w:pPr>
            <w:r>
              <w:rPr>
                <w:rFonts w:ascii="Arial" w:cs="Arial" w:eastAsia="Arial" w:hAnsi="Arial"/>
                <w:sz w:val="16"/>
                <w:szCs w:val="16"/>
                <w:color w:val="3E474E"/>
              </w:rPr>
              <w:t>5x</w:t>
            </w:r>
          </w:p>
        </w:tc>
      </w:tr>
      <w:tr>
        <w:trPr>
          <w:trHeight w:val="243"/>
        </w:trPr>
        <w:tc>
          <w:tcPr>
            <w:tcW w:w="2000" w:type="dxa"/>
            <w:vAlign w:val="bottom"/>
          </w:tcPr>
          <w:p>
            <w:pPr>
              <w:spacing w:after="0"/>
              <w:rPr>
                <w:sz w:val="20"/>
                <w:szCs w:val="20"/>
                <w:color w:val="auto"/>
              </w:rPr>
            </w:pPr>
            <w:r>
              <w:rPr>
                <w:rFonts w:ascii="Arial" w:cs="Arial" w:eastAsia="Arial" w:hAnsi="Arial"/>
                <w:sz w:val="16"/>
                <w:szCs w:val="16"/>
                <w:color w:val="3E474E"/>
              </w:rPr>
              <w:t>Chief Financial Officer</w:t>
            </w:r>
          </w:p>
        </w:tc>
        <w:tc>
          <w:tcPr>
            <w:tcW w:w="2140" w:type="dxa"/>
            <w:vAlign w:val="bottom"/>
          </w:tcPr>
          <w:p>
            <w:pPr>
              <w:ind w:left="240"/>
              <w:spacing w:after="0"/>
              <w:rPr>
                <w:sz w:val="20"/>
                <w:szCs w:val="20"/>
                <w:color w:val="auto"/>
              </w:rPr>
            </w:pPr>
            <w:r>
              <w:rPr>
                <w:rFonts w:ascii="Arial" w:cs="Arial" w:eastAsia="Arial" w:hAnsi="Arial"/>
                <w:sz w:val="16"/>
                <w:szCs w:val="16"/>
                <w:color w:val="3E474E"/>
              </w:rPr>
              <w:t>3x</w:t>
            </w:r>
          </w:p>
        </w:tc>
      </w:tr>
      <w:tr>
        <w:trPr>
          <w:trHeight w:val="243"/>
        </w:trPr>
        <w:tc>
          <w:tcPr>
            <w:tcW w:w="2000" w:type="dxa"/>
            <w:vAlign w:val="bottom"/>
          </w:tcPr>
          <w:p>
            <w:pPr>
              <w:spacing w:after="0"/>
              <w:rPr>
                <w:sz w:val="20"/>
                <w:szCs w:val="20"/>
                <w:color w:val="auto"/>
              </w:rPr>
            </w:pPr>
            <w:r>
              <w:rPr>
                <w:rFonts w:ascii="Arial" w:cs="Arial" w:eastAsia="Arial" w:hAnsi="Arial"/>
                <w:sz w:val="16"/>
                <w:szCs w:val="16"/>
                <w:color w:val="3E474E"/>
              </w:rPr>
              <w:t>Non-employee Directors</w:t>
            </w:r>
          </w:p>
        </w:tc>
        <w:tc>
          <w:tcPr>
            <w:tcW w:w="2140" w:type="dxa"/>
            <w:vAlign w:val="bottom"/>
          </w:tcPr>
          <w:p>
            <w:pPr>
              <w:ind w:left="240"/>
              <w:spacing w:after="0"/>
              <w:rPr>
                <w:sz w:val="20"/>
                <w:szCs w:val="20"/>
                <w:color w:val="auto"/>
              </w:rPr>
            </w:pPr>
            <w:r>
              <w:rPr>
                <w:rFonts w:ascii="Arial" w:cs="Arial" w:eastAsia="Arial" w:hAnsi="Arial"/>
                <w:sz w:val="16"/>
                <w:szCs w:val="16"/>
                <w:color w:val="3E474E"/>
              </w:rPr>
              <w:t>3x</w:t>
            </w:r>
          </w:p>
        </w:tc>
      </w:tr>
    </w:tbl>
    <w:p>
      <w:pPr>
        <w:spacing w:after="0" w:line="200" w:lineRule="exact"/>
        <w:rPr>
          <w:sz w:val="20"/>
          <w:szCs w:val="20"/>
          <w:color w:val="auto"/>
        </w:rPr>
      </w:pPr>
    </w:p>
    <w:p>
      <w:pPr>
        <w:spacing w:after="0" w:line="38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3E474E"/>
        </w:rPr>
        <w:t>Other than Ms. Boykin and Mr. Allen, all other directors and NEOs are in compliance with the stock ownership requirements. Ms. Boykin became a director of the Company on March 1, 2025 and has until March 1, 2030 to meet the required ownership levels. Mr. Allen is not standing for re-election this year.</w:t>
      </w:r>
    </w:p>
    <w:p>
      <w:pPr>
        <w:spacing w:after="0" w:line="19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3E474E"/>
        </w:rPr>
        <w:t>The Company also has a stock retention requirement for directors and NEOs. Any director or NEO who has not achieved the applicable stock ownership threshold must hold all net shares (after shares are sold or withheld to pay the exercise price of any stock options and applicable withholding taxes) or LTIP Units received until he or she meets the applicable stock ownership threshold.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1478A3"/>
        </w:rPr>
        <w:t>Insider Trading Policy</w:t>
      </w:r>
    </w:p>
    <w:p>
      <w:pPr>
        <w:spacing w:after="0" w:line="5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3E474E"/>
        </w:rPr>
        <w:t>Our Board has adopted an Insider Trading Policy, which applies to all of our directors, officers, and employees. The policy prohibits our directors, officers, employees, and any entities they control from engaging in transactions in the Company’s securities, including common stock and preferred stock, if those persons are in possession of material non-public information. It includes a number of exemptions, such as when the transaction is effected pursuant to a plan or arrangement that is compliant with Rule 10b5-1 under the Exchange Act. The policy also sets out particular blackout periods during which no trading may typically occur. Scheduled blackout periods occur around the dates quarterly and annual reports are being prepared, until the third trading day after the announcement of our earnings for the quarter, and additional event-specific blackout periods can be imposed. We believe the Insider Trading Policy is reasonably designed to promote compliance with insider trading laws, rules and regulations, and the NYSE listing standards applicable to us.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1478A3"/>
        </w:rPr>
        <w:t>Hedging, Pledging and Short-Term Speculative Transactions</w:t>
      </w:r>
    </w:p>
    <w:p>
      <w:pPr>
        <w:spacing w:after="0" w:line="56" w:lineRule="exact"/>
        <w:rPr>
          <w:sz w:val="20"/>
          <w:szCs w:val="20"/>
          <w:color w:val="auto"/>
        </w:rPr>
      </w:pPr>
    </w:p>
    <w:p>
      <w:pPr>
        <w:spacing w:after="0" w:line="275" w:lineRule="auto"/>
        <w:rPr>
          <w:sz w:val="20"/>
          <w:szCs w:val="20"/>
          <w:color w:val="auto"/>
        </w:rPr>
      </w:pPr>
      <w:r>
        <w:rPr>
          <w:rFonts w:ascii="Arial" w:cs="Arial" w:eastAsia="Arial" w:hAnsi="Arial"/>
          <w:sz w:val="16"/>
          <w:szCs w:val="16"/>
          <w:color w:val="3E474E"/>
        </w:rPr>
        <w:t>We prohibit the purchase or sale of puts, calls, options, or other derivative securities based on the Company’s securities by any of our directors or employees (or any designee of any of them). We also prohibit hedging or monetization transactions, such as forward sale contracts, in which the stockholder owns the underlying Company security without all the risks of ownership.</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1478A3"/>
        </w:rPr>
        <w:t>Clawback Policy</w:t>
      </w:r>
    </w:p>
    <w:p>
      <w:pPr>
        <w:spacing w:after="0" w:line="1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3E474E"/>
        </w:rPr>
        <w:t>We have adopted an Incentive Compensation Clawback Policy (the “Clawback Policy”) in compliance with Section 303A.14 of the NYSE Listed Company Manual and Section 10D of the Exchange Act. Under the Clawback Policy, the Company must recover from any “Executive Officer,” as such term is defined in Rule 10D-1 under the Exchange Act and Section 303A.14 of the NYSE Listed Company Manual, of the Company the amount of any erroneously awarded incentive-based compensation. The Clawback Policy became effective as of October 2, 2023, the effective date of Section 303A.14 of the NYSE Listed Company Manual. During the year ended December 31, 2025, the Company was not required to recoup any compensation under the Clawback Policy.</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1478A3"/>
        </w:rPr>
        <w:t>Information Security</w:t>
      </w:r>
    </w:p>
    <w:p>
      <w:pPr>
        <w:spacing w:after="0" w:line="5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3E474E"/>
        </w:rPr>
        <w:t>Our Board recognizes the risks inherent in today's cybersecurity environment. We are committed to proactively researching, implementing, and updating technology security hardware, software, and strategies as the threat landscape around us evolves, ensuring we offer the best protection for our resources and information from unauthorized access. Our governance strategy for information security has been organized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27</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747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6"/>
          <w:szCs w:val="16"/>
          <w:color w:val="3E474E"/>
        </w:rPr>
      </w:pPr>
      <w:r>
        <w:rPr>
          <w:rFonts w:ascii="Arial" w:cs="Arial" w:eastAsia="Arial" w:hAnsi="Arial"/>
          <w:sz w:val="16"/>
          <w:szCs w:val="16"/>
          <w:color w:val="3E474E"/>
        </w:rPr>
        <w:t>Our Board, including through delegation to our Audit Committee, exercises oversight over cybersecurity risks and controls.</w:t>
      </w:r>
    </w:p>
    <w:p>
      <w:pPr>
        <w:spacing w:after="0" w:line="59" w:lineRule="exact"/>
        <w:rPr>
          <w:rFonts w:ascii="Arial" w:cs="Arial" w:eastAsia="Arial" w:hAnsi="Arial"/>
          <w:sz w:val="16"/>
          <w:szCs w:val="16"/>
          <w:color w:val="3E474E"/>
        </w:rPr>
      </w:pPr>
    </w:p>
    <w:p>
      <w:pPr>
        <w:ind w:left="240" w:right="120" w:hanging="232"/>
        <w:spacing w:after="0" w:line="261" w:lineRule="auto"/>
        <w:tabs>
          <w:tab w:leader="none" w:pos="191" w:val="left"/>
        </w:tabs>
        <w:numPr>
          <w:ilvl w:val="0"/>
          <w:numId w:val="66"/>
        </w:numPr>
        <w:rPr>
          <w:rFonts w:ascii="Arial" w:cs="Arial" w:eastAsia="Arial" w:hAnsi="Arial"/>
          <w:sz w:val="16"/>
          <w:szCs w:val="16"/>
          <w:color w:val="3E474E"/>
        </w:rPr>
      </w:pPr>
      <w:r>
        <w:rPr>
          <w:rFonts w:ascii="Arial" w:cs="Arial" w:eastAsia="Arial" w:hAnsi="Arial"/>
          <w:sz w:val="16"/>
          <w:szCs w:val="16"/>
          <w:color w:val="3E474E"/>
        </w:rPr>
        <w:t>Our Audit Committee and our Board regularly receive updates (including, in the case of our Audit Committee, quarterly updates) from the Chief Financial Officer and other members of management regarding the status of cybersecurity initiatives and the effectiveness of our internal control system related to information security. In connection with such updates, our Board and Audit Committee discuss our approach to cybersecurity risk management with management. Additionally, the Audit Committee periodically receives presentations from third-party cybersecurity experts to remain informed of developments in cyber risk and mitigation. Our Board and Audit Committee also receive prompt and timely information regarding any cybersecurity incident that meets established reporting thresholds, as well as ongoing updates regarding such incident until it has been addressed.</w:t>
      </w:r>
    </w:p>
    <w:p>
      <w:pPr>
        <w:spacing w:after="0" w:line="27" w:lineRule="exact"/>
        <w:rPr>
          <w:rFonts w:ascii="Arial" w:cs="Arial" w:eastAsia="Arial" w:hAnsi="Arial"/>
          <w:sz w:val="16"/>
          <w:szCs w:val="16"/>
          <w:color w:val="3E474E"/>
        </w:rPr>
      </w:pPr>
    </w:p>
    <w:p>
      <w:pPr>
        <w:ind w:left="240" w:right="40" w:hanging="232"/>
        <w:spacing w:after="0" w:line="265" w:lineRule="auto"/>
        <w:tabs>
          <w:tab w:leader="none" w:pos="191" w:val="left"/>
        </w:tabs>
        <w:numPr>
          <w:ilvl w:val="0"/>
          <w:numId w:val="66"/>
        </w:numPr>
        <w:rPr>
          <w:rFonts w:ascii="Arial" w:cs="Arial" w:eastAsia="Arial" w:hAnsi="Arial"/>
          <w:sz w:val="16"/>
          <w:szCs w:val="16"/>
          <w:color w:val="3E474E"/>
        </w:rPr>
      </w:pPr>
      <w:r>
        <w:rPr>
          <w:rFonts w:ascii="Arial" w:cs="Arial" w:eastAsia="Arial" w:hAnsi="Arial"/>
          <w:sz w:val="16"/>
          <w:szCs w:val="16"/>
          <w:color w:val="3E474E"/>
        </w:rPr>
        <w:t>We manage cybersecurity threats by employing a comprehensive process that is integral to our overall risk management framework. Our risk management approach is designed to be aligned with the Committee of Sponsoring Organizations of the Treadway Commission ("COSO") 2017 Enterprise Risk Management (“ERM”) framework. This system includes a risk assessment process which encompasses information technology (“IT”) and cybersecurity risks that could be material to our organization.</w:t>
      </w:r>
    </w:p>
    <w:p>
      <w:pPr>
        <w:spacing w:after="0" w:line="10" w:lineRule="exact"/>
        <w:rPr>
          <w:rFonts w:ascii="Arial" w:cs="Arial" w:eastAsia="Arial" w:hAnsi="Arial"/>
          <w:sz w:val="16"/>
          <w:szCs w:val="16"/>
          <w:color w:val="3E474E"/>
        </w:rPr>
      </w:pPr>
    </w:p>
    <w:p>
      <w:pPr>
        <w:ind w:left="240" w:right="120" w:hanging="232"/>
        <w:spacing w:after="0" w:line="265" w:lineRule="auto"/>
        <w:tabs>
          <w:tab w:leader="none" w:pos="191" w:val="left"/>
        </w:tabs>
        <w:numPr>
          <w:ilvl w:val="0"/>
          <w:numId w:val="66"/>
        </w:numPr>
        <w:rPr>
          <w:rFonts w:ascii="Arial" w:cs="Arial" w:eastAsia="Arial" w:hAnsi="Arial"/>
          <w:sz w:val="16"/>
          <w:szCs w:val="16"/>
          <w:color w:val="3E474E"/>
        </w:rPr>
      </w:pPr>
      <w:r>
        <w:rPr>
          <w:rFonts w:ascii="Arial" w:cs="Arial" w:eastAsia="Arial" w:hAnsi="Arial"/>
          <w:sz w:val="16"/>
          <w:szCs w:val="16"/>
          <w:color w:val="3E474E"/>
        </w:rPr>
        <w:t>Our overall risk management system provides a structured and consistent approach to risk identification, assessment, and response, including those related to cybersecurity. The integration of cyber risks into our ERM framework underscores our commitment to upholding a robust governance structure that emphasizes the protection of our information systems. We also regularly engage independent third-party consultants to conduct cybersecurity program assessments utilizing the Center for Internet Security ("CIS") framework v8.</w:t>
      </w:r>
    </w:p>
    <w:p>
      <w:pPr>
        <w:spacing w:after="0" w:line="24" w:lineRule="exact"/>
        <w:rPr>
          <w:rFonts w:ascii="Arial" w:cs="Arial" w:eastAsia="Arial" w:hAnsi="Arial"/>
          <w:sz w:val="16"/>
          <w:szCs w:val="16"/>
          <w:color w:val="3E474E"/>
        </w:rPr>
      </w:pPr>
    </w:p>
    <w:p>
      <w:pPr>
        <w:ind w:left="240" w:right="200" w:hanging="232"/>
        <w:spacing w:after="0" w:line="260" w:lineRule="auto"/>
        <w:tabs>
          <w:tab w:leader="none" w:pos="191" w:val="left"/>
        </w:tabs>
        <w:numPr>
          <w:ilvl w:val="0"/>
          <w:numId w:val="66"/>
        </w:numPr>
        <w:rPr>
          <w:rFonts w:ascii="Arial" w:cs="Arial" w:eastAsia="Arial" w:hAnsi="Arial"/>
          <w:sz w:val="16"/>
          <w:szCs w:val="16"/>
          <w:color w:val="3E474E"/>
        </w:rPr>
      </w:pPr>
      <w:r>
        <w:rPr>
          <w:rFonts w:ascii="Arial" w:cs="Arial" w:eastAsia="Arial" w:hAnsi="Arial"/>
          <w:sz w:val="16"/>
          <w:szCs w:val="16"/>
          <w:color w:val="3E474E"/>
        </w:rPr>
        <w:t>The management team ensures the implementation of robust monitoring protocols for preventing, detecting, mitigating, and remediating cybersecurity threats. We use a ‘defense in layers’ approach which constitutes a cybersecurity strategy that involves the use of multiple types of securities measures, each designed to protect against a different vector of attack. Management is supported by third-party monitoring, next-generation hardware, and automated logging analysis. We utilize third parties for penetration testing and log evaluation, which provides 24/7 network monitoring to assist in rapid identification and mitigation of any suspicious network access.</w:t>
      </w:r>
    </w:p>
    <w:p>
      <w:pPr>
        <w:spacing w:after="0" w:line="29" w:lineRule="exact"/>
        <w:rPr>
          <w:rFonts w:ascii="Arial" w:cs="Arial" w:eastAsia="Arial" w:hAnsi="Arial"/>
          <w:sz w:val="16"/>
          <w:szCs w:val="16"/>
          <w:color w:val="3E474E"/>
        </w:rPr>
      </w:pPr>
    </w:p>
    <w:p>
      <w:pPr>
        <w:ind w:left="240" w:right="120" w:hanging="232"/>
        <w:spacing w:after="0" w:line="275" w:lineRule="auto"/>
        <w:tabs>
          <w:tab w:leader="none" w:pos="191" w:val="left"/>
        </w:tabs>
        <w:numPr>
          <w:ilvl w:val="0"/>
          <w:numId w:val="66"/>
        </w:numPr>
        <w:rPr>
          <w:rFonts w:ascii="Arial" w:cs="Arial" w:eastAsia="Arial" w:hAnsi="Arial"/>
          <w:sz w:val="16"/>
          <w:szCs w:val="16"/>
          <w:color w:val="3E474E"/>
        </w:rPr>
      </w:pPr>
      <w:r>
        <w:rPr>
          <w:rFonts w:ascii="Arial" w:cs="Arial" w:eastAsia="Arial" w:hAnsi="Arial"/>
          <w:sz w:val="16"/>
          <w:szCs w:val="16"/>
          <w:color w:val="3E474E"/>
        </w:rPr>
        <w:t>We maintain an Incident Response Plan, based on guidance within the National Institute of Standards and Technology's Computer Security Incident Handling Guide, which provides an escalation policy for identified security incidents. Our escalation policy details specific escalation processes by which senior leadership are informed about and monitor the prevention, detection, mitigation, and remediation of cybersecurity incidents.</w:t>
      </w:r>
    </w:p>
    <w:p>
      <w:pPr>
        <w:spacing w:after="0" w:line="2" w:lineRule="exact"/>
        <w:rPr>
          <w:rFonts w:ascii="Arial" w:cs="Arial" w:eastAsia="Arial" w:hAnsi="Arial"/>
          <w:sz w:val="16"/>
          <w:szCs w:val="16"/>
          <w:color w:val="3E474E"/>
        </w:rPr>
      </w:pPr>
    </w:p>
    <w:p>
      <w:pPr>
        <w:ind w:left="180" w:hanging="172"/>
        <w:spacing w:after="0"/>
        <w:tabs>
          <w:tab w:leader="none" w:pos="180" w:val="left"/>
        </w:tabs>
        <w:numPr>
          <w:ilvl w:val="0"/>
          <w:numId w:val="66"/>
        </w:numPr>
        <w:rPr>
          <w:rFonts w:ascii="Arial" w:cs="Arial" w:eastAsia="Arial" w:hAnsi="Arial"/>
          <w:sz w:val="16"/>
          <w:szCs w:val="16"/>
          <w:color w:val="3E474E"/>
        </w:rPr>
      </w:pPr>
      <w:r>
        <w:rPr>
          <w:rFonts w:ascii="Arial" w:cs="Arial" w:eastAsia="Arial" w:hAnsi="Arial"/>
          <w:sz w:val="16"/>
          <w:szCs w:val="16"/>
          <w:color w:val="3E474E"/>
        </w:rPr>
        <w:t>Our internal audit department performs periodic assessments of the design and operating effectiveness of our cybersecurity controls.</w:t>
      </w:r>
    </w:p>
    <w:p>
      <w:pPr>
        <w:spacing w:after="0" w:line="59" w:lineRule="exact"/>
        <w:rPr>
          <w:rFonts w:ascii="Arial" w:cs="Arial" w:eastAsia="Arial" w:hAnsi="Arial"/>
          <w:sz w:val="16"/>
          <w:szCs w:val="16"/>
          <w:color w:val="3E474E"/>
        </w:rPr>
      </w:pPr>
    </w:p>
    <w:p>
      <w:pPr>
        <w:ind w:left="240" w:right="200" w:hanging="232"/>
        <w:spacing w:after="0" w:line="290" w:lineRule="auto"/>
        <w:tabs>
          <w:tab w:leader="none" w:pos="191" w:val="left"/>
        </w:tabs>
        <w:numPr>
          <w:ilvl w:val="0"/>
          <w:numId w:val="66"/>
        </w:numPr>
        <w:rPr>
          <w:rFonts w:ascii="Arial" w:cs="Arial" w:eastAsia="Arial" w:hAnsi="Arial"/>
          <w:sz w:val="16"/>
          <w:szCs w:val="16"/>
          <w:color w:val="3E474E"/>
        </w:rPr>
      </w:pPr>
      <w:r>
        <w:rPr>
          <w:rFonts w:ascii="Arial" w:cs="Arial" w:eastAsia="Arial" w:hAnsi="Arial"/>
          <w:sz w:val="16"/>
          <w:szCs w:val="16"/>
          <w:color w:val="3E474E"/>
        </w:rPr>
        <w:t>We conduct company-wide IT security training, supported by weekly executed simulated email phishing attacks for employee training and recognition of attacks.</w:t>
      </w:r>
    </w:p>
    <w:p>
      <w:pPr>
        <w:ind w:left="240" w:right="20" w:hanging="232"/>
        <w:spacing w:after="0" w:line="265" w:lineRule="auto"/>
        <w:tabs>
          <w:tab w:leader="none" w:pos="191" w:val="left"/>
        </w:tabs>
        <w:numPr>
          <w:ilvl w:val="0"/>
          <w:numId w:val="66"/>
        </w:numPr>
        <w:rPr>
          <w:rFonts w:ascii="Arial" w:cs="Arial" w:eastAsia="Arial" w:hAnsi="Arial"/>
          <w:sz w:val="16"/>
          <w:szCs w:val="16"/>
          <w:color w:val="3E474E"/>
        </w:rPr>
      </w:pPr>
      <w:r>
        <w:rPr>
          <w:rFonts w:ascii="Arial" w:cs="Arial" w:eastAsia="Arial" w:hAnsi="Arial"/>
          <w:sz w:val="16"/>
          <w:szCs w:val="16"/>
          <w:color w:val="3E474E"/>
        </w:rPr>
        <w:t>We maintain strategic partnerships with third-party assessors, consultants, and auditors to enhance our defense mechanisms. This includes the use of third parties for penetration testing, log evaluation, and network monitoring to assist in rapid identification and mitigation of any suspicious network access to ensure the effective detection and mitigation of cybersecurity threats. The results of such tests and assessments are reported to our Audit Committee and our Board, and we adjust our cybersecurity policies, standards, processes, and practices as necessary based on the information provided by the tests and assessments.</w:t>
      </w:r>
    </w:p>
    <w:p>
      <w:pPr>
        <w:spacing w:after="0" w:line="10" w:lineRule="exact"/>
        <w:rPr>
          <w:rFonts w:ascii="Arial" w:cs="Arial" w:eastAsia="Arial" w:hAnsi="Arial"/>
          <w:sz w:val="16"/>
          <w:szCs w:val="16"/>
          <w:color w:val="3E474E"/>
        </w:rPr>
      </w:pPr>
    </w:p>
    <w:p>
      <w:pPr>
        <w:ind w:left="240" w:hanging="232"/>
        <w:spacing w:after="0" w:line="261" w:lineRule="auto"/>
        <w:tabs>
          <w:tab w:leader="none" w:pos="191" w:val="left"/>
        </w:tabs>
        <w:numPr>
          <w:ilvl w:val="0"/>
          <w:numId w:val="66"/>
        </w:numPr>
        <w:rPr>
          <w:rFonts w:ascii="Arial" w:cs="Arial" w:eastAsia="Arial" w:hAnsi="Arial"/>
          <w:sz w:val="16"/>
          <w:szCs w:val="16"/>
          <w:color w:val="3E474E"/>
        </w:rPr>
      </w:pPr>
      <w:r>
        <w:rPr>
          <w:rFonts w:ascii="Arial" w:cs="Arial" w:eastAsia="Arial" w:hAnsi="Arial"/>
          <w:sz w:val="16"/>
          <w:szCs w:val="16"/>
          <w:color w:val="3E474E"/>
        </w:rPr>
        <w:t>Our vendor risk assessment program is designed to identify, evaluate, and manage risks associated with third-party service providers. As a part of this program, we regularly review third-party attestation reports, such as SOC 1 and SOC 2, for key service providers to validate the effectiveness of their cybersecurity policies and controls. This ensures alignment with our standards for cybersecurity. Additionally, we require all vendors with whom we have a direct contract or agreement, with limited exceptions, to comply with the Vendor Code of Business Conduct. Vendors are required to maintain the confidentiality of information entrusted to them by us. Additionally, the Vendor Code of Business Conduct provides instructions for vendors to report violations confidentially.</w:t>
      </w:r>
    </w:p>
    <w:p>
      <w:pPr>
        <w:spacing w:after="0" w:line="14" w:lineRule="exact"/>
        <w:rPr>
          <w:rFonts w:ascii="Arial" w:cs="Arial" w:eastAsia="Arial" w:hAnsi="Arial"/>
          <w:sz w:val="16"/>
          <w:szCs w:val="16"/>
          <w:color w:val="3E474E"/>
        </w:rPr>
      </w:pPr>
    </w:p>
    <w:p>
      <w:pPr>
        <w:ind w:left="180" w:hanging="172"/>
        <w:spacing w:after="0"/>
        <w:tabs>
          <w:tab w:leader="none" w:pos="180" w:val="left"/>
        </w:tabs>
        <w:numPr>
          <w:ilvl w:val="0"/>
          <w:numId w:val="66"/>
        </w:numPr>
        <w:rPr>
          <w:rFonts w:ascii="Arial" w:cs="Arial" w:eastAsia="Arial" w:hAnsi="Arial"/>
          <w:sz w:val="16"/>
          <w:szCs w:val="16"/>
          <w:color w:val="3E474E"/>
        </w:rPr>
      </w:pPr>
      <w:r>
        <w:rPr>
          <w:rFonts w:ascii="Arial" w:cs="Arial" w:eastAsia="Arial" w:hAnsi="Arial"/>
          <w:sz w:val="16"/>
          <w:szCs w:val="16"/>
          <w:color w:val="3E474E"/>
        </w:rPr>
        <w:t>We maintain cybersecurity risk insurance covering risks including ransomware, forensic analysis and recovery, and brand protection.</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1478A3"/>
        </w:rPr>
        <w:t>Code of Business Conduct and Ethics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3E474E"/>
        </w:rPr>
        <w:t>Our Board of Directors established a Code of Business Conduct and Ethics that applies to our officers, directors, and employees. Among other matters,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E474E"/>
        </w:rPr>
        <w:t>Code of Business Conduct and Ethics is designed to promote:</w:t>
      </w:r>
    </w:p>
    <w:p>
      <w:pPr>
        <w:spacing w:after="0" w:line="246" w:lineRule="exact"/>
        <w:rPr>
          <w:sz w:val="20"/>
          <w:szCs w:val="20"/>
          <w:color w:val="auto"/>
        </w:rPr>
      </w:pPr>
    </w:p>
    <w:p>
      <w:pPr>
        <w:ind w:left="240" w:right="480" w:hanging="232"/>
        <w:spacing w:after="0" w:line="263" w:lineRule="auto"/>
        <w:tabs>
          <w:tab w:leader="none" w:pos="191" w:val="left"/>
        </w:tabs>
        <w:numPr>
          <w:ilvl w:val="0"/>
          <w:numId w:val="67"/>
        </w:numPr>
        <w:rPr>
          <w:rFonts w:ascii="Arial" w:cs="Arial" w:eastAsia="Arial" w:hAnsi="Arial"/>
          <w:sz w:val="16"/>
          <w:szCs w:val="16"/>
          <w:color w:val="3E474E"/>
        </w:rPr>
      </w:pPr>
      <w:r>
        <w:rPr>
          <w:rFonts w:ascii="Arial" w:cs="Arial" w:eastAsia="Arial" w:hAnsi="Arial"/>
          <w:sz w:val="16"/>
          <w:szCs w:val="16"/>
          <w:color w:val="3E474E"/>
        </w:rPr>
        <w:t>honest and ethical conduct, including the ethical handling of actual or apparent conflicts of interest between personal and professional relationships, including vendor relationships;</w:t>
      </w:r>
    </w:p>
    <w:p>
      <w:pPr>
        <w:ind w:left="180" w:hanging="172"/>
        <w:spacing w:after="0"/>
        <w:tabs>
          <w:tab w:leader="none" w:pos="180" w:val="left"/>
        </w:tabs>
        <w:numPr>
          <w:ilvl w:val="0"/>
          <w:numId w:val="67"/>
        </w:numPr>
        <w:rPr>
          <w:rFonts w:ascii="Arial" w:cs="Arial" w:eastAsia="Arial" w:hAnsi="Arial"/>
          <w:sz w:val="16"/>
          <w:szCs w:val="16"/>
          <w:color w:val="3E474E"/>
        </w:rPr>
      </w:pPr>
      <w:r>
        <w:rPr>
          <w:rFonts w:ascii="Arial" w:cs="Arial" w:eastAsia="Arial" w:hAnsi="Arial"/>
          <w:sz w:val="16"/>
          <w:szCs w:val="16"/>
          <w:color w:val="3E474E"/>
        </w:rPr>
        <w:t>full, fair, accurate, timely, and understandable disclosure in our SEC reports and other public communications;</w:t>
      </w:r>
    </w:p>
    <w:p>
      <w:pPr>
        <w:spacing w:after="0" w:line="8" w:lineRule="exact"/>
        <w:rPr>
          <w:rFonts w:ascii="Arial" w:cs="Arial" w:eastAsia="Arial" w:hAnsi="Arial"/>
          <w:sz w:val="16"/>
          <w:szCs w:val="16"/>
          <w:color w:val="3E474E"/>
        </w:rPr>
      </w:pPr>
    </w:p>
    <w:p>
      <w:pPr>
        <w:ind w:left="180" w:hanging="172"/>
        <w:spacing w:after="0"/>
        <w:tabs>
          <w:tab w:leader="none" w:pos="180" w:val="left"/>
        </w:tabs>
        <w:numPr>
          <w:ilvl w:val="0"/>
          <w:numId w:val="67"/>
        </w:numPr>
        <w:rPr>
          <w:rFonts w:ascii="Arial" w:cs="Arial" w:eastAsia="Arial" w:hAnsi="Arial"/>
          <w:sz w:val="16"/>
          <w:szCs w:val="16"/>
          <w:color w:val="3E474E"/>
        </w:rPr>
      </w:pPr>
      <w:r>
        <w:rPr>
          <w:rFonts w:ascii="Arial" w:cs="Arial" w:eastAsia="Arial" w:hAnsi="Arial"/>
          <w:sz w:val="16"/>
          <w:szCs w:val="16"/>
          <w:color w:val="3E474E"/>
        </w:rPr>
        <w:t>compliance with applicable laws, rules, and regulations;</w:t>
      </w:r>
    </w:p>
    <w:p>
      <w:pPr>
        <w:spacing w:after="0" w:line="5" w:lineRule="exact"/>
        <w:rPr>
          <w:rFonts w:ascii="Arial" w:cs="Arial" w:eastAsia="Arial" w:hAnsi="Arial"/>
          <w:sz w:val="16"/>
          <w:szCs w:val="16"/>
          <w:color w:val="3E474E"/>
        </w:rPr>
      </w:pPr>
    </w:p>
    <w:p>
      <w:pPr>
        <w:ind w:left="180" w:hanging="172"/>
        <w:spacing w:after="0"/>
        <w:tabs>
          <w:tab w:leader="none" w:pos="180" w:val="left"/>
        </w:tabs>
        <w:numPr>
          <w:ilvl w:val="0"/>
          <w:numId w:val="67"/>
        </w:numPr>
        <w:rPr>
          <w:rFonts w:ascii="Arial" w:cs="Arial" w:eastAsia="Arial" w:hAnsi="Arial"/>
          <w:sz w:val="16"/>
          <w:szCs w:val="16"/>
          <w:color w:val="3E474E"/>
        </w:rPr>
      </w:pPr>
      <w:r>
        <w:rPr>
          <w:rFonts w:ascii="Arial" w:cs="Arial" w:eastAsia="Arial" w:hAnsi="Arial"/>
          <w:sz w:val="16"/>
          <w:szCs w:val="16"/>
          <w:color w:val="3E474E"/>
        </w:rPr>
        <w:t>human rights and leading environmental practices;</w:t>
      </w:r>
    </w:p>
    <w:p>
      <w:pPr>
        <w:spacing w:after="0" w:line="14" w:lineRule="exact"/>
        <w:rPr>
          <w:rFonts w:ascii="Arial" w:cs="Arial" w:eastAsia="Arial" w:hAnsi="Arial"/>
          <w:sz w:val="16"/>
          <w:szCs w:val="16"/>
          <w:color w:val="3E474E"/>
        </w:rPr>
      </w:pPr>
    </w:p>
    <w:p>
      <w:pPr>
        <w:ind w:left="180" w:hanging="172"/>
        <w:spacing w:after="0"/>
        <w:tabs>
          <w:tab w:leader="none" w:pos="180" w:val="left"/>
        </w:tabs>
        <w:numPr>
          <w:ilvl w:val="0"/>
          <w:numId w:val="67"/>
        </w:numPr>
        <w:rPr>
          <w:rFonts w:ascii="Arial" w:cs="Arial" w:eastAsia="Arial" w:hAnsi="Arial"/>
          <w:sz w:val="16"/>
          <w:szCs w:val="16"/>
          <w:color w:val="3E474E"/>
        </w:rPr>
      </w:pPr>
      <w:r>
        <w:rPr>
          <w:rFonts w:ascii="Arial" w:cs="Arial" w:eastAsia="Arial" w:hAnsi="Arial"/>
          <w:sz w:val="16"/>
          <w:szCs w:val="16"/>
          <w:color w:val="3E474E"/>
        </w:rPr>
        <w:t>prompt internal reporting of violations of the code to appropriate persons identified in the code; and</w:t>
      </w:r>
    </w:p>
    <w:p>
      <w:pPr>
        <w:spacing w:after="0" w:line="8" w:lineRule="exact"/>
        <w:rPr>
          <w:rFonts w:ascii="Arial" w:cs="Arial" w:eastAsia="Arial" w:hAnsi="Arial"/>
          <w:sz w:val="16"/>
          <w:szCs w:val="16"/>
          <w:color w:val="3E474E"/>
        </w:rPr>
      </w:pPr>
    </w:p>
    <w:p>
      <w:pPr>
        <w:ind w:left="180" w:hanging="172"/>
        <w:spacing w:after="0"/>
        <w:tabs>
          <w:tab w:leader="none" w:pos="180" w:val="left"/>
        </w:tabs>
        <w:numPr>
          <w:ilvl w:val="0"/>
          <w:numId w:val="67"/>
        </w:numPr>
        <w:rPr>
          <w:rFonts w:ascii="Arial" w:cs="Arial" w:eastAsia="Arial" w:hAnsi="Arial"/>
          <w:sz w:val="16"/>
          <w:szCs w:val="16"/>
          <w:color w:val="3E474E"/>
        </w:rPr>
      </w:pPr>
      <w:r>
        <w:rPr>
          <w:rFonts w:ascii="Arial" w:cs="Arial" w:eastAsia="Arial" w:hAnsi="Arial"/>
          <w:sz w:val="16"/>
          <w:szCs w:val="16"/>
          <w:color w:val="3E474E"/>
        </w:rPr>
        <w:t>accountability for adherence to the 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782320</wp:posOffset>
            </wp:positionV>
            <wp:extent cx="825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782320</wp:posOffset>
            </wp:positionV>
            <wp:extent cx="8255"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28</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747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3E474E"/>
        </w:rPr>
        <w:t>Political contributions on behalf of the Company are prohibited.</w:t>
      </w:r>
    </w:p>
    <w:p>
      <w:pPr>
        <w:spacing w:after="0" w:line="235"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3E474E"/>
        </w:rPr>
        <w:t>Any waiver of the Code of Business Conduct and Ethics for our executive officers or directors must be approved by the Board of Directors or a committee of the Board of Directors, and any such waiver shall be promptly disclosed to stockholders as required by law or NYSE regulations. Such disclosure may be made by distributing a press release, providing website disclosure or by filing a Current Report on Form 8-K with the SEC.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1478A3"/>
        </w:rPr>
        <w:t>Availability of Corporate Governance Materials</w:t>
      </w:r>
    </w:p>
    <w:p>
      <w:pPr>
        <w:spacing w:after="0" w:line="5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3E474E"/>
        </w:rPr>
        <w:t>Stockholders may view our corporate governance materials, including the charters of the Audit Committee, Compensation Committee, and Nominating and Corporate Governance Committee, our Corporate Governance Guidelines, our Code of Business Conduct and Ethics, and various other corporate governance policies, on our website at www.AHRealtyTrust.com under the “Investors” tab. These documents are also available in print to any stockholder who sends a written request to such effect to Investor Relations, AH Realty Trust, Inc., 4605 Columbus Street, Virginia Beach, Virginia 23462. Information at or connected to our website is not and should not be considered a part of this Proxy Statement. Any amendments to our corporate governance materials will be uploaded to our website without express notice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29</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747C83"/>
        </w:rPr>
        <w:t>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1478A3"/>
        </w:rPr>
        <w:t>Related Party Transactions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1478A3"/>
        </w:rPr>
        <w:t>Related Party Transaction Policy</w:t>
      </w:r>
    </w:p>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3E474E"/>
        </w:rPr>
        <w:t>The Board of Directors has adopted a written related person transaction approval policy to further the goal of ensuring that any related person transaction is properly reviewed, approved by the Audit Committee, and fully disclosed in accordance with the rules and regulations of the SEC and the NYSE. The policy applies to transactions or arrangements between the Company and any related person, including directors, director nominees, executive officers, greater than 5% stockholders, and the immediate family members of each of these groups (the “Related Persons”). They do not, however, apply with respect to general conflicts between the interests of the Company and our employees, officers, and directors, including issues relating to engaging in a competing business and receiving certain benefits from the Company, such as loans or guarantees of obligations, which are reported and handled in accordance with the Company’s Code of Business Conduct and Ethics and other procedures and guidelines implemented by the Company from time to time.</w:t>
      </w:r>
    </w:p>
    <w:p>
      <w:pPr>
        <w:spacing w:after="0" w:line="21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3E474E"/>
        </w:rPr>
        <w:t>Under the policy, the Related Person is responsible for identifying and reporting to the Audit Committee any proposed related person transaction. In the event the Chief Executive Officer determines that it is impractical or undesirable to wait until an Audit Committee meeting can be convened in order to review a transaction with a Related Person, the Chairperson of the Audit Committee may act as an authorized subcommittee on behalf of the Audit Committee to review such transaction, so long as the Chairperson is a disinterested member with respect to such transaction. After considering all the facts and circumstances available to the Audit Committee, the Audit Committee will approve, ratify, or reject the transaction, in its discretion. All approved transactions with Related Persons will be disclosed to the full Board of Directors.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1478A3"/>
        </w:rPr>
        <w:t>Related Party Transactions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3E474E"/>
        </w:rPr>
        <w:t>We describe below transactions and series of similar transactions, during our last fiscal year, to which we were a party or will be a party, in which:</w:t>
      </w:r>
    </w:p>
    <w:p>
      <w:pPr>
        <w:spacing w:after="0" w:line="262"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6"/>
          <w:szCs w:val="16"/>
          <w:color w:val="3E474E"/>
        </w:rPr>
      </w:pPr>
      <w:r>
        <w:rPr>
          <w:rFonts w:ascii="Arial" w:cs="Arial" w:eastAsia="Arial" w:hAnsi="Arial"/>
          <w:sz w:val="16"/>
          <w:szCs w:val="16"/>
          <w:color w:val="3E474E"/>
        </w:rPr>
        <w:t>the amounts involved exceeded or will exceed $120,000; and</w:t>
      </w:r>
    </w:p>
    <w:p>
      <w:pPr>
        <w:spacing w:after="0" w:line="21" w:lineRule="exact"/>
        <w:rPr>
          <w:rFonts w:ascii="Arial" w:cs="Arial" w:eastAsia="Arial" w:hAnsi="Arial"/>
          <w:sz w:val="16"/>
          <w:szCs w:val="16"/>
          <w:color w:val="3E474E"/>
        </w:rPr>
      </w:pPr>
    </w:p>
    <w:p>
      <w:pPr>
        <w:ind w:left="240" w:right="280" w:hanging="232"/>
        <w:spacing w:after="0" w:line="265" w:lineRule="auto"/>
        <w:tabs>
          <w:tab w:leader="none" w:pos="191" w:val="left"/>
        </w:tabs>
        <w:numPr>
          <w:ilvl w:val="0"/>
          <w:numId w:val="68"/>
        </w:numPr>
        <w:rPr>
          <w:rFonts w:ascii="Arial" w:cs="Arial" w:eastAsia="Arial" w:hAnsi="Arial"/>
          <w:sz w:val="16"/>
          <w:szCs w:val="16"/>
          <w:color w:val="3E474E"/>
        </w:rPr>
      </w:pPr>
      <w:r>
        <w:rPr>
          <w:rFonts w:ascii="Arial" w:cs="Arial" w:eastAsia="Arial" w:hAnsi="Arial"/>
          <w:sz w:val="16"/>
          <w:szCs w:val="16"/>
          <w:color w:val="3E474E"/>
        </w:rPr>
        <w:t>any of our directors, executive officers, holders of more than 5% of our outstanding common stock, or any member of their immediate family had or will have a direct or indirect material interest.</w:t>
      </w:r>
    </w:p>
    <w:p>
      <w:pPr>
        <w:spacing w:after="0" w:line="21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3E474E"/>
        </w:rPr>
        <w:t>Additionally, we may provide information about related party transactions that we believe may be of interest to stockholders regardless of whether they meet the criteria above.</w:t>
      </w:r>
    </w:p>
    <w:p>
      <w:pPr>
        <w:spacing w:after="0" w:line="183"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3E474E"/>
        </w:rPr>
        <w:t>During 2025, the Company received $185,000 in rental income from Crestline Hotels and Resorts LLC, an entity of which James Carroll, a member of the Board of Directors, serves as the 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1478A3"/>
        </w:rPr>
        <w:t>Indemnification of Officers and Directors</w:t>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6"/>
          <w:szCs w:val="16"/>
          <w:color w:val="3E474E"/>
        </w:rPr>
        <w:t>The charter and bylaws provide for certain indemnification rights for our directors and officers, and we entered into an indemnification agreement with each of our executive officers and directors, providing for procedures for indemnification and advancements by us of certain expenses and costs relating to claims, suits, or proceedings arising from their service to us or, at our request, service to other entities, as officers or directors, or in certain other capacities, to the maximum extent permitted by Maryland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30</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747C83"/>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Director Compensation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1478A3"/>
        </w:rPr>
        <w:t>Elements of 2025 Non-Employee Director Compensation</w:t>
      </w:r>
    </w:p>
    <w:p>
      <w:pPr>
        <w:spacing w:after="0" w:line="5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3E474E"/>
        </w:rPr>
        <w:t>During the fiscal year ended December 31, 2025, the directors, other than Mr. Tibbetts and Mr. Haddad, were compensated for their service based on the following schedule: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80" w:type="dxa"/>
            <w:vAlign w:val="bottom"/>
          </w:tcPr>
          <w:p>
            <w:pPr>
              <w:ind w:left="20"/>
              <w:spacing w:after="0"/>
              <w:rPr>
                <w:sz w:val="20"/>
                <w:szCs w:val="20"/>
                <w:color w:val="auto"/>
              </w:rPr>
            </w:pPr>
            <w:r>
              <w:rPr>
                <w:rFonts w:ascii="Arial" w:cs="Arial" w:eastAsia="Arial" w:hAnsi="Arial"/>
                <w:sz w:val="16"/>
                <w:szCs w:val="16"/>
                <w:color w:val="3E474E"/>
              </w:rPr>
              <w:t>Annual Cash Retainer</w:t>
            </w:r>
          </w:p>
        </w:tc>
        <w:tc>
          <w:tcPr>
            <w:tcW w:w="3460" w:type="dxa"/>
            <w:vAlign w:val="bottom"/>
          </w:tcPr>
          <w:p>
            <w:pPr>
              <w:jc w:val="right"/>
              <w:spacing w:after="0"/>
              <w:rPr>
                <w:sz w:val="20"/>
                <w:szCs w:val="20"/>
                <w:color w:val="auto"/>
              </w:rPr>
            </w:pPr>
            <w:r>
              <w:rPr>
                <w:rFonts w:ascii="Arial" w:cs="Arial" w:eastAsia="Arial" w:hAnsi="Arial"/>
                <w:sz w:val="16"/>
                <w:szCs w:val="16"/>
                <w:color w:val="3E474E"/>
              </w:rPr>
              <w:t>55,000</w:t>
            </w:r>
          </w:p>
        </w:tc>
      </w:tr>
      <w:tr>
        <w:trPr>
          <w:trHeight w:val="251"/>
        </w:trPr>
        <w:tc>
          <w:tcPr>
            <w:tcW w:w="778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Annual Equity Award of Restricted Shares or Time-Based LTIP units</w:t>
            </w:r>
          </w:p>
        </w:tc>
        <w:tc>
          <w:tcPr>
            <w:tcW w:w="34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55,000</w:t>
            </w:r>
          </w:p>
        </w:tc>
      </w:tr>
      <w:tr>
        <w:trPr>
          <w:trHeight w:val="235"/>
        </w:trPr>
        <w:tc>
          <w:tcPr>
            <w:tcW w:w="7780" w:type="dxa"/>
            <w:vAlign w:val="bottom"/>
          </w:tcPr>
          <w:p>
            <w:pPr>
              <w:ind w:left="20"/>
              <w:spacing w:after="0"/>
              <w:rPr>
                <w:sz w:val="20"/>
                <w:szCs w:val="20"/>
                <w:color w:val="auto"/>
              </w:rPr>
            </w:pPr>
            <w:r>
              <w:rPr>
                <w:rFonts w:ascii="Arial" w:cs="Arial" w:eastAsia="Arial" w:hAnsi="Arial"/>
                <w:sz w:val="16"/>
                <w:szCs w:val="16"/>
                <w:color w:val="3E474E"/>
              </w:rPr>
              <w:t>Additional Annual Cash Retainers for:</w:t>
            </w:r>
          </w:p>
        </w:tc>
        <w:tc>
          <w:tcPr>
            <w:tcW w:w="3460" w:type="dxa"/>
            <w:vAlign w:val="bottom"/>
          </w:tcPr>
          <w:p>
            <w:pPr>
              <w:spacing w:after="0"/>
              <w:rPr>
                <w:sz w:val="20"/>
                <w:szCs w:val="20"/>
                <w:color w:val="auto"/>
              </w:rPr>
            </w:pPr>
          </w:p>
        </w:tc>
      </w:tr>
      <w:tr>
        <w:trPr>
          <w:trHeight w:val="251"/>
        </w:trPr>
        <w:tc>
          <w:tcPr>
            <w:tcW w:w="7780" w:type="dxa"/>
            <w:vAlign w:val="bottom"/>
            <w:shd w:val="clear" w:color="auto" w:fill="E3EAEE"/>
          </w:tcPr>
          <w:p>
            <w:pPr>
              <w:ind w:left="240"/>
              <w:spacing w:after="0"/>
              <w:rPr>
                <w:sz w:val="20"/>
                <w:szCs w:val="20"/>
                <w:color w:val="auto"/>
              </w:rPr>
            </w:pPr>
            <w:r>
              <w:rPr>
                <w:rFonts w:ascii="Arial" w:cs="Arial" w:eastAsia="Arial" w:hAnsi="Arial"/>
                <w:sz w:val="16"/>
                <w:szCs w:val="16"/>
                <w:color w:val="3E474E"/>
              </w:rPr>
              <w:t>Lead Independent Director</w:t>
            </w:r>
          </w:p>
        </w:tc>
        <w:tc>
          <w:tcPr>
            <w:tcW w:w="34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15,000</w:t>
            </w:r>
          </w:p>
        </w:tc>
      </w:tr>
      <w:tr>
        <w:trPr>
          <w:trHeight w:val="235"/>
        </w:trPr>
        <w:tc>
          <w:tcPr>
            <w:tcW w:w="7780" w:type="dxa"/>
            <w:vAlign w:val="bottom"/>
          </w:tcPr>
          <w:p>
            <w:pPr>
              <w:ind w:left="240"/>
              <w:spacing w:after="0"/>
              <w:rPr>
                <w:sz w:val="20"/>
                <w:szCs w:val="20"/>
                <w:color w:val="auto"/>
              </w:rPr>
            </w:pPr>
            <w:r>
              <w:rPr>
                <w:rFonts w:ascii="Arial" w:cs="Arial" w:eastAsia="Arial" w:hAnsi="Arial"/>
                <w:sz w:val="16"/>
                <w:szCs w:val="16"/>
                <w:color w:val="3E474E"/>
              </w:rPr>
              <w:t>Audit Committee Chair</w:t>
            </w:r>
          </w:p>
        </w:tc>
        <w:tc>
          <w:tcPr>
            <w:tcW w:w="3460" w:type="dxa"/>
            <w:vAlign w:val="bottom"/>
          </w:tcPr>
          <w:p>
            <w:pPr>
              <w:jc w:val="right"/>
              <w:spacing w:after="0"/>
              <w:rPr>
                <w:sz w:val="20"/>
                <w:szCs w:val="20"/>
                <w:color w:val="auto"/>
              </w:rPr>
            </w:pPr>
            <w:r>
              <w:rPr>
                <w:rFonts w:ascii="Arial" w:cs="Arial" w:eastAsia="Arial" w:hAnsi="Arial"/>
                <w:sz w:val="16"/>
                <w:szCs w:val="16"/>
                <w:color w:val="3E474E"/>
              </w:rPr>
              <w:t>12,500</w:t>
            </w:r>
          </w:p>
        </w:tc>
      </w:tr>
      <w:tr>
        <w:trPr>
          <w:trHeight w:val="251"/>
        </w:trPr>
        <w:tc>
          <w:tcPr>
            <w:tcW w:w="7780" w:type="dxa"/>
            <w:vAlign w:val="bottom"/>
            <w:shd w:val="clear" w:color="auto" w:fill="E3EAEE"/>
          </w:tcPr>
          <w:p>
            <w:pPr>
              <w:ind w:left="240"/>
              <w:spacing w:after="0"/>
              <w:rPr>
                <w:sz w:val="20"/>
                <w:szCs w:val="20"/>
                <w:color w:val="auto"/>
              </w:rPr>
            </w:pPr>
            <w:r>
              <w:rPr>
                <w:rFonts w:ascii="Arial" w:cs="Arial" w:eastAsia="Arial" w:hAnsi="Arial"/>
                <w:sz w:val="16"/>
                <w:szCs w:val="16"/>
                <w:color w:val="3E474E"/>
              </w:rPr>
              <w:t>Compensation Committee Chair</w:t>
            </w:r>
          </w:p>
        </w:tc>
        <w:tc>
          <w:tcPr>
            <w:tcW w:w="34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10,000</w:t>
            </w:r>
          </w:p>
        </w:tc>
      </w:tr>
      <w:tr>
        <w:trPr>
          <w:trHeight w:val="235"/>
        </w:trPr>
        <w:tc>
          <w:tcPr>
            <w:tcW w:w="7780" w:type="dxa"/>
            <w:vAlign w:val="bottom"/>
          </w:tcPr>
          <w:p>
            <w:pPr>
              <w:ind w:left="240"/>
              <w:spacing w:after="0"/>
              <w:rPr>
                <w:sz w:val="20"/>
                <w:szCs w:val="20"/>
                <w:color w:val="auto"/>
              </w:rPr>
            </w:pPr>
            <w:r>
              <w:rPr>
                <w:rFonts w:ascii="Arial" w:cs="Arial" w:eastAsia="Arial" w:hAnsi="Arial"/>
                <w:sz w:val="16"/>
                <w:szCs w:val="16"/>
                <w:color w:val="3E474E"/>
              </w:rPr>
              <w:t>Nominating and Corporate Governance Committee Chair</w:t>
            </w:r>
          </w:p>
        </w:tc>
        <w:tc>
          <w:tcPr>
            <w:tcW w:w="3460" w:type="dxa"/>
            <w:vAlign w:val="bottom"/>
          </w:tcPr>
          <w:p>
            <w:pPr>
              <w:jc w:val="right"/>
              <w:spacing w:after="0"/>
              <w:rPr>
                <w:sz w:val="20"/>
                <w:szCs w:val="20"/>
                <w:color w:val="auto"/>
              </w:rPr>
            </w:pPr>
            <w:r>
              <w:rPr>
                <w:rFonts w:ascii="Arial" w:cs="Arial" w:eastAsia="Arial" w:hAnsi="Arial"/>
                <w:sz w:val="16"/>
                <w:szCs w:val="16"/>
                <w:color w:val="3E474E"/>
              </w:rPr>
              <w:t>10,000</w:t>
            </w:r>
          </w:p>
        </w:tc>
      </w:tr>
      <w:tr>
        <w:trPr>
          <w:trHeight w:val="251"/>
        </w:trPr>
        <w:tc>
          <w:tcPr>
            <w:tcW w:w="7780" w:type="dxa"/>
            <w:vAlign w:val="bottom"/>
            <w:shd w:val="clear" w:color="auto" w:fill="E3EAEE"/>
          </w:tcPr>
          <w:p>
            <w:pPr>
              <w:ind w:left="240"/>
              <w:spacing w:after="0"/>
              <w:rPr>
                <w:sz w:val="20"/>
                <w:szCs w:val="20"/>
                <w:color w:val="auto"/>
              </w:rPr>
            </w:pPr>
            <w:r>
              <w:rPr>
                <w:rFonts w:ascii="Arial" w:cs="Arial" w:eastAsia="Arial" w:hAnsi="Arial"/>
                <w:sz w:val="16"/>
                <w:szCs w:val="16"/>
                <w:color w:val="3E474E"/>
              </w:rPr>
              <w:t>Chairman Emeritus</w:t>
            </w:r>
          </w:p>
        </w:tc>
        <w:tc>
          <w:tcPr>
            <w:tcW w:w="34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25,000</w:t>
            </w:r>
          </w:p>
        </w:tc>
      </w:tr>
    </w:tbl>
    <w:p>
      <w:pPr>
        <w:spacing w:after="0" w:line="310" w:lineRule="exact"/>
        <w:rPr>
          <w:sz w:val="20"/>
          <w:szCs w:val="20"/>
          <w:color w:val="auto"/>
        </w:rPr>
      </w:pPr>
    </w:p>
    <w:p>
      <w:pPr>
        <w:spacing w:after="0" w:line="241" w:lineRule="auto"/>
        <w:rPr>
          <w:sz w:val="20"/>
          <w:szCs w:val="20"/>
          <w:color w:val="auto"/>
        </w:rPr>
      </w:pPr>
      <w:r>
        <w:rPr>
          <w:rFonts w:ascii="Arial" w:cs="Arial" w:eastAsia="Arial" w:hAnsi="Arial"/>
          <w:sz w:val="16"/>
          <w:szCs w:val="16"/>
          <w:color w:val="3E474E"/>
        </w:rPr>
        <w:t xml:space="preserve">Each non-employee director receives the annual base cash retainer for his or her services in cash in quarterly installments in conjunction with quarterly meetings of the Board. Each non-employee director may elect to receive up to 100% of his or her annual cash retainers in fully vested shares of our common stock or LTIP units (as defined in “Compensation Discussion and Analysis - LTIP Units” on page </w:t>
      </w:r>
      <w:r>
        <w:rPr>
          <w:rFonts w:ascii="Arial" w:cs="Arial" w:eastAsia="Arial" w:hAnsi="Arial"/>
          <w:sz w:val="16"/>
          <w:szCs w:val="16"/>
          <w:u w:val="single" w:color="auto"/>
          <w:color w:val="0000FF"/>
        </w:rPr>
        <w:t>47</w:t>
      </w:r>
      <w:r>
        <w:rPr>
          <w:rFonts w:ascii="Arial" w:cs="Arial" w:eastAsia="Arial" w:hAnsi="Arial"/>
          <w:sz w:val="16"/>
          <w:szCs w:val="16"/>
          <w:color w:val="3E474E"/>
        </w:rPr>
        <w:t>). On the date of each annual meeting of stockholders, each non-employee director receives an annual equity award of, at the director's election, restricted shares or LTIP units, which, in either case, will vest on the date of the first annual meeting of stockholders after the date of grant, subject to the director’s continued service on the Board of Directors on such date. All awards of restricted stock and LTIP units granted to each non-employee director will vest in full upon a change in control (as defined in the Company's Amended and Restated 2013 Equity Incentive Plan, as amended (the "Equity Incentive Plan"). The number of shares or units granted is based on the five-day average closing price of our common stock before the grant date. We also reimburse each of our directors for his or her travel expenses incurred in connection with his or her attendance at full Board of Directors and committee meetings, attendance at annual or special meetings of our stockholders, and site visits to our properties.</w:t>
      </w:r>
    </w:p>
    <w:p>
      <w:pPr>
        <w:spacing w:after="0" w:line="21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3E474E"/>
        </w:rPr>
        <w:t>In connection with Mr. Hoffler’s appointment as Chairman Emeritus, the Compensation Committee approved an annual retainer of $25,000 for Mr. Hoffler, for his services, in addition to the retainer payable to our other non-employee directors.</w:t>
      </w:r>
    </w:p>
    <w:p>
      <w:pPr>
        <w:spacing w:after="0" w:line="168"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3E474E"/>
        </w:rPr>
        <w:t>For the year ended December 31, 2025, Mr. Tibbetts served as our Chief Executive Officer and did not receive any additional compensation for his service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31</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747C83"/>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478A3"/>
        </w:rPr>
        <w:t>Director Compensation for 2025</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3E474E"/>
        </w:rPr>
        <w:t>The following tables provide information on the compensation of each of our directors serving as of the fiscal year ended December 31, 2025, other than</w:t>
      </w:r>
    </w:p>
    <w:p>
      <w:pPr>
        <w:spacing w:after="0" w:line="21" w:lineRule="exact"/>
        <w:rPr>
          <w:sz w:val="20"/>
          <w:szCs w:val="20"/>
          <w:color w:val="auto"/>
        </w:rPr>
      </w:pPr>
    </w:p>
    <w:p>
      <w:pPr>
        <w:spacing w:after="0" w:line="247" w:lineRule="auto"/>
        <w:rPr>
          <w:sz w:val="20"/>
          <w:szCs w:val="20"/>
          <w:color w:val="auto"/>
        </w:rPr>
      </w:pPr>
      <w:r>
        <w:rPr>
          <w:rFonts w:ascii="Arial" w:cs="Arial" w:eastAsia="Arial" w:hAnsi="Arial"/>
          <w:sz w:val="16"/>
          <w:szCs w:val="16"/>
          <w:color w:val="3E474E"/>
        </w:rPr>
        <w:t xml:space="preserve">Mr. Tibbetts, who received no separate compensation for his service as a director, and Mr. Haddad, whose compensation is disclosed in the "Executive Chair Compensation" section below. For information related to the compensation of Mr. Tibbetts, please refer to "Compensation Tables and Narratives" section on page </w:t>
      </w:r>
      <w:r>
        <w:rPr>
          <w:rFonts w:ascii="Arial" w:cs="Arial" w:eastAsia="Arial" w:hAnsi="Arial"/>
          <w:sz w:val="16"/>
          <w:szCs w:val="16"/>
          <w:u w:val="single" w:color="auto"/>
          <w:color w:val="0000FF"/>
        </w:rPr>
        <w:t>48</w:t>
      </w:r>
      <w:r>
        <w:rPr>
          <w:rFonts w:ascii="Arial" w:cs="Arial" w:eastAsia="Arial" w:hAnsi="Arial"/>
          <w:sz w:val="16"/>
          <w:szCs w:val="16"/>
          <w:color w:val="3E474E"/>
          <w:highlight w:val="white"/>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shd w:val="clear" w:color="auto" w:fill="E3EAEE"/>
          </w:tcPr>
          <w:p>
            <w:pPr>
              <w:spacing w:after="0"/>
              <w:rPr>
                <w:sz w:val="16"/>
                <w:szCs w:val="16"/>
                <w:color w:val="auto"/>
              </w:rPr>
            </w:pPr>
          </w:p>
        </w:tc>
        <w:tc>
          <w:tcPr>
            <w:tcW w:w="1860" w:type="dxa"/>
            <w:vAlign w:val="bottom"/>
            <w:shd w:val="clear" w:color="auto" w:fill="E3EAEE"/>
          </w:tcPr>
          <w:p>
            <w:pPr>
              <w:spacing w:after="0"/>
              <w:rPr>
                <w:sz w:val="16"/>
                <w:szCs w:val="16"/>
                <w:color w:val="auto"/>
              </w:rPr>
            </w:pPr>
          </w:p>
        </w:tc>
        <w:tc>
          <w:tcPr>
            <w:tcW w:w="2360" w:type="dxa"/>
            <w:vAlign w:val="bottom"/>
            <w:shd w:val="clear" w:color="auto" w:fill="E3EAEE"/>
          </w:tcPr>
          <w:p>
            <w:pPr>
              <w:jc w:val="center"/>
              <w:ind w:left="561"/>
              <w:spacing w:after="0"/>
              <w:rPr>
                <w:sz w:val="20"/>
                <w:szCs w:val="20"/>
                <w:color w:val="auto"/>
              </w:rPr>
            </w:pPr>
            <w:r>
              <w:rPr>
                <w:rFonts w:ascii="Arial" w:cs="Arial" w:eastAsia="Arial" w:hAnsi="Arial"/>
                <w:sz w:val="14"/>
                <w:szCs w:val="14"/>
                <w:b w:val="1"/>
                <w:bCs w:val="1"/>
                <w:color w:val="1478A3"/>
              </w:rPr>
              <w:t>Fees Earned or</w:t>
            </w:r>
          </w:p>
        </w:tc>
        <w:tc>
          <w:tcPr>
            <w:tcW w:w="120" w:type="dxa"/>
            <w:vAlign w:val="bottom"/>
            <w:shd w:val="clear" w:color="auto" w:fill="E3EAEE"/>
          </w:tcPr>
          <w:p>
            <w:pPr>
              <w:spacing w:after="0"/>
              <w:rPr>
                <w:sz w:val="16"/>
                <w:szCs w:val="16"/>
                <w:color w:val="auto"/>
              </w:rPr>
            </w:pPr>
          </w:p>
        </w:tc>
        <w:tc>
          <w:tcPr>
            <w:tcW w:w="202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Equity</w:t>
            </w:r>
          </w:p>
        </w:tc>
        <w:tc>
          <w:tcPr>
            <w:tcW w:w="440" w:type="dxa"/>
            <w:vAlign w:val="bottom"/>
            <w:shd w:val="clear" w:color="auto" w:fill="E3EAEE"/>
          </w:tcPr>
          <w:p>
            <w:pPr>
              <w:spacing w:after="0"/>
              <w:rPr>
                <w:sz w:val="16"/>
                <w:szCs w:val="16"/>
                <w:color w:val="auto"/>
              </w:rPr>
            </w:pPr>
          </w:p>
        </w:tc>
        <w:tc>
          <w:tcPr>
            <w:tcW w:w="1580" w:type="dxa"/>
            <w:vAlign w:val="bottom"/>
            <w:shd w:val="clear" w:color="auto" w:fill="E3EAEE"/>
          </w:tcPr>
          <w:p>
            <w:pPr>
              <w:jc w:val="center"/>
              <w:ind w:right="106"/>
              <w:spacing w:after="0"/>
              <w:rPr>
                <w:sz w:val="20"/>
                <w:szCs w:val="20"/>
                <w:color w:val="auto"/>
              </w:rPr>
            </w:pPr>
            <w:r>
              <w:rPr>
                <w:rFonts w:ascii="Arial" w:cs="Arial" w:eastAsia="Arial" w:hAnsi="Arial"/>
                <w:sz w:val="14"/>
                <w:szCs w:val="14"/>
                <w:b w:val="1"/>
                <w:bCs w:val="1"/>
                <w:color w:val="1478A3"/>
              </w:rPr>
              <w:t>All Other</w:t>
            </w:r>
          </w:p>
        </w:tc>
        <w:tc>
          <w:tcPr>
            <w:tcW w:w="580" w:type="dxa"/>
            <w:vAlign w:val="bottom"/>
            <w:shd w:val="clear" w:color="auto" w:fill="E3EAEE"/>
          </w:tcPr>
          <w:p>
            <w:pPr>
              <w:spacing w:after="0"/>
              <w:rPr>
                <w:sz w:val="16"/>
                <w:szCs w:val="16"/>
                <w:color w:val="auto"/>
              </w:rPr>
            </w:pPr>
          </w:p>
        </w:tc>
        <w:tc>
          <w:tcPr>
            <w:tcW w:w="1460" w:type="dxa"/>
            <w:vAlign w:val="bottom"/>
            <w:vMerge w:val="restart"/>
            <w:shd w:val="clear" w:color="auto" w:fill="E3EAEE"/>
          </w:tcPr>
          <w:p>
            <w:pPr>
              <w:jc w:val="right"/>
              <w:ind w:right="601"/>
              <w:spacing w:after="0"/>
              <w:rPr>
                <w:sz w:val="20"/>
                <w:szCs w:val="20"/>
                <w:color w:val="auto"/>
              </w:rPr>
            </w:pPr>
            <w:r>
              <w:rPr>
                <w:rFonts w:ascii="Arial" w:cs="Arial" w:eastAsia="Arial" w:hAnsi="Arial"/>
                <w:sz w:val="14"/>
                <w:szCs w:val="14"/>
                <w:b w:val="1"/>
                <w:bCs w:val="1"/>
                <w:color w:val="1478A3"/>
              </w:rPr>
              <w:t>Total</w:t>
            </w:r>
          </w:p>
        </w:tc>
        <w:tc>
          <w:tcPr>
            <w:tcW w:w="0" w:type="dxa"/>
            <w:vAlign w:val="bottom"/>
          </w:tcPr>
          <w:p>
            <w:pPr>
              <w:spacing w:after="0"/>
              <w:rPr>
                <w:sz w:val="1"/>
                <w:szCs w:val="1"/>
                <w:color w:val="auto"/>
              </w:rPr>
            </w:pPr>
          </w:p>
        </w:tc>
      </w:tr>
      <w:tr>
        <w:trPr>
          <w:trHeight w:val="164"/>
        </w:trPr>
        <w:tc>
          <w:tcPr>
            <w:tcW w:w="140" w:type="dxa"/>
            <w:vAlign w:val="bottom"/>
            <w:shd w:val="clear" w:color="auto" w:fill="E3EAEE"/>
          </w:tcPr>
          <w:p>
            <w:pPr>
              <w:spacing w:after="0"/>
              <w:rPr>
                <w:sz w:val="14"/>
                <w:szCs w:val="14"/>
                <w:color w:val="auto"/>
              </w:rPr>
            </w:pPr>
          </w:p>
        </w:tc>
        <w:tc>
          <w:tcPr>
            <w:tcW w:w="1860" w:type="dxa"/>
            <w:vAlign w:val="bottom"/>
            <w:vMerge w:val="restart"/>
            <w:shd w:val="clear" w:color="auto" w:fill="E3EAEE"/>
          </w:tcPr>
          <w:p>
            <w:pPr>
              <w:ind w:left="720"/>
              <w:spacing w:after="0"/>
              <w:rPr>
                <w:sz w:val="20"/>
                <w:szCs w:val="20"/>
                <w:color w:val="auto"/>
              </w:rPr>
            </w:pPr>
            <w:r>
              <w:rPr>
                <w:rFonts w:ascii="Arial" w:cs="Arial" w:eastAsia="Arial" w:hAnsi="Arial"/>
                <w:sz w:val="14"/>
                <w:szCs w:val="14"/>
                <w:b w:val="1"/>
                <w:bCs w:val="1"/>
                <w:color w:val="1478A3"/>
              </w:rPr>
              <w:t>Directors</w:t>
            </w:r>
            <w:r>
              <w:rPr>
                <w:rFonts w:ascii="Arial" w:cs="Arial" w:eastAsia="Arial" w:hAnsi="Arial"/>
                <w:sz w:val="18"/>
                <w:szCs w:val="18"/>
                <w:b w:val="1"/>
                <w:bCs w:val="1"/>
                <w:color w:val="1478A3"/>
                <w:vertAlign w:val="superscript"/>
              </w:rPr>
              <w:t>(1)</w:t>
            </w:r>
          </w:p>
        </w:tc>
        <w:tc>
          <w:tcPr>
            <w:tcW w:w="2360" w:type="dxa"/>
            <w:vAlign w:val="bottom"/>
            <w:shd w:val="clear" w:color="auto" w:fill="E3EAEE"/>
          </w:tcPr>
          <w:p>
            <w:pPr>
              <w:jc w:val="center"/>
              <w:ind w:left="581"/>
              <w:spacing w:after="0"/>
              <w:rPr>
                <w:sz w:val="20"/>
                <w:szCs w:val="20"/>
                <w:color w:val="auto"/>
              </w:rPr>
            </w:pPr>
            <w:r>
              <w:rPr>
                <w:rFonts w:ascii="Arial" w:cs="Arial" w:eastAsia="Arial" w:hAnsi="Arial"/>
                <w:sz w:val="14"/>
                <w:szCs w:val="14"/>
                <w:b w:val="1"/>
                <w:bCs w:val="1"/>
                <w:color w:val="1478A3"/>
              </w:rPr>
              <w:t>Paid in Cash</w:t>
            </w:r>
          </w:p>
        </w:tc>
        <w:tc>
          <w:tcPr>
            <w:tcW w:w="120" w:type="dxa"/>
            <w:vAlign w:val="bottom"/>
            <w:shd w:val="clear" w:color="auto" w:fill="E3EAEE"/>
          </w:tcPr>
          <w:p>
            <w:pPr>
              <w:spacing w:after="0"/>
              <w:rPr>
                <w:sz w:val="14"/>
                <w:szCs w:val="14"/>
                <w:color w:val="auto"/>
              </w:rPr>
            </w:pPr>
          </w:p>
        </w:tc>
        <w:tc>
          <w:tcPr>
            <w:tcW w:w="2020" w:type="dxa"/>
            <w:vAlign w:val="bottom"/>
            <w:shd w:val="clear" w:color="auto" w:fill="E3EAEE"/>
          </w:tcPr>
          <w:p>
            <w:pPr>
              <w:jc w:val="center"/>
              <w:ind w:left="1"/>
              <w:spacing w:after="0" w:line="164" w:lineRule="exact"/>
              <w:rPr>
                <w:sz w:val="20"/>
                <w:szCs w:val="20"/>
                <w:color w:val="auto"/>
              </w:rPr>
            </w:pPr>
            <w:r>
              <w:rPr>
                <w:rFonts w:ascii="Arial" w:cs="Arial" w:eastAsia="Arial" w:hAnsi="Arial"/>
                <w:sz w:val="14"/>
                <w:szCs w:val="14"/>
                <w:b w:val="1"/>
                <w:bCs w:val="1"/>
                <w:color w:val="1478A3"/>
                <w:w w:val="94"/>
              </w:rPr>
              <w:t>Awards</w:t>
            </w:r>
            <w:r>
              <w:rPr>
                <w:rFonts w:ascii="Arial" w:cs="Arial" w:eastAsia="Arial" w:hAnsi="Arial"/>
                <w:sz w:val="18"/>
                <w:szCs w:val="18"/>
                <w:b w:val="1"/>
                <w:bCs w:val="1"/>
                <w:color w:val="1478A3"/>
                <w:w w:val="94"/>
                <w:vertAlign w:val="superscript"/>
              </w:rPr>
              <w:t>(2)</w:t>
            </w:r>
          </w:p>
        </w:tc>
        <w:tc>
          <w:tcPr>
            <w:tcW w:w="440" w:type="dxa"/>
            <w:vAlign w:val="bottom"/>
            <w:shd w:val="clear" w:color="auto" w:fill="E3EAEE"/>
          </w:tcPr>
          <w:p>
            <w:pPr>
              <w:spacing w:after="0"/>
              <w:rPr>
                <w:sz w:val="14"/>
                <w:szCs w:val="14"/>
                <w:color w:val="auto"/>
              </w:rPr>
            </w:pPr>
          </w:p>
        </w:tc>
        <w:tc>
          <w:tcPr>
            <w:tcW w:w="1580" w:type="dxa"/>
            <w:vAlign w:val="bottom"/>
            <w:shd w:val="clear" w:color="auto" w:fill="E3EAEE"/>
          </w:tcPr>
          <w:p>
            <w:pPr>
              <w:jc w:val="center"/>
              <w:ind w:right="66"/>
              <w:spacing w:after="0"/>
              <w:rPr>
                <w:sz w:val="20"/>
                <w:szCs w:val="20"/>
                <w:color w:val="auto"/>
              </w:rPr>
            </w:pPr>
            <w:r>
              <w:rPr>
                <w:rFonts w:ascii="Arial" w:cs="Arial" w:eastAsia="Arial" w:hAnsi="Arial"/>
                <w:sz w:val="14"/>
                <w:szCs w:val="14"/>
                <w:b w:val="1"/>
                <w:bCs w:val="1"/>
                <w:color w:val="1478A3"/>
              </w:rPr>
              <w:t>Compensation</w:t>
            </w:r>
          </w:p>
        </w:tc>
        <w:tc>
          <w:tcPr>
            <w:tcW w:w="580" w:type="dxa"/>
            <w:vAlign w:val="bottom"/>
            <w:shd w:val="clear" w:color="auto" w:fill="E3EAEE"/>
          </w:tcPr>
          <w:p>
            <w:pPr>
              <w:spacing w:after="0"/>
              <w:rPr>
                <w:sz w:val="14"/>
                <w:szCs w:val="14"/>
                <w:color w:val="auto"/>
              </w:rPr>
            </w:pPr>
          </w:p>
        </w:tc>
        <w:tc>
          <w:tcPr>
            <w:tcW w:w="1460" w:type="dxa"/>
            <w:vAlign w:val="bottom"/>
            <w:vMerge w:val="continue"/>
            <w:shd w:val="clear" w:color="auto" w:fill="E3EAE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0" w:type="dxa"/>
            <w:vAlign w:val="bottom"/>
            <w:tcBorders>
              <w:bottom w:val="single" w:sz="8" w:color="007AA7"/>
            </w:tcBorders>
            <w:shd w:val="clear" w:color="auto" w:fill="E3EAEE"/>
          </w:tcPr>
          <w:p>
            <w:pPr>
              <w:spacing w:after="0"/>
              <w:rPr>
                <w:sz w:val="18"/>
                <w:szCs w:val="18"/>
                <w:color w:val="auto"/>
              </w:rPr>
            </w:pPr>
          </w:p>
        </w:tc>
        <w:tc>
          <w:tcPr>
            <w:tcW w:w="1860" w:type="dxa"/>
            <w:vAlign w:val="bottom"/>
            <w:tcBorders>
              <w:bottom w:val="single" w:sz="8" w:color="007AA7"/>
            </w:tcBorders>
            <w:vMerge w:val="continue"/>
            <w:shd w:val="clear" w:color="auto" w:fill="E3EAEE"/>
          </w:tcPr>
          <w:p>
            <w:pPr>
              <w:spacing w:after="0"/>
              <w:rPr>
                <w:sz w:val="18"/>
                <w:szCs w:val="18"/>
                <w:color w:val="auto"/>
              </w:rPr>
            </w:pPr>
          </w:p>
        </w:tc>
        <w:tc>
          <w:tcPr>
            <w:tcW w:w="2360" w:type="dxa"/>
            <w:vAlign w:val="bottom"/>
            <w:tcBorders>
              <w:bottom w:val="single" w:sz="8" w:color="007AA7"/>
            </w:tcBorders>
            <w:shd w:val="clear" w:color="auto" w:fill="E3EAEE"/>
          </w:tcPr>
          <w:p>
            <w:pPr>
              <w:jc w:val="center"/>
              <w:ind w:left="581"/>
              <w:spacing w:after="0"/>
              <w:rPr>
                <w:sz w:val="20"/>
                <w:szCs w:val="20"/>
                <w:color w:val="auto"/>
              </w:rPr>
            </w:pPr>
            <w:r>
              <w:rPr>
                <w:rFonts w:ascii="Arial" w:cs="Arial" w:eastAsia="Arial" w:hAnsi="Arial"/>
                <w:sz w:val="14"/>
                <w:szCs w:val="14"/>
                <w:b w:val="1"/>
                <w:bCs w:val="1"/>
                <w:color w:val="1478A3"/>
              </w:rPr>
              <w:t>($)</w:t>
            </w:r>
          </w:p>
        </w:tc>
        <w:tc>
          <w:tcPr>
            <w:tcW w:w="120" w:type="dxa"/>
            <w:vAlign w:val="bottom"/>
            <w:tcBorders>
              <w:bottom w:val="single" w:sz="8" w:color="007AA7"/>
            </w:tcBorders>
            <w:shd w:val="clear" w:color="auto" w:fill="E3EAEE"/>
          </w:tcPr>
          <w:p>
            <w:pPr>
              <w:spacing w:after="0"/>
              <w:rPr>
                <w:sz w:val="18"/>
                <w:szCs w:val="18"/>
                <w:color w:val="auto"/>
              </w:rPr>
            </w:pPr>
          </w:p>
        </w:tc>
        <w:tc>
          <w:tcPr>
            <w:tcW w:w="2020" w:type="dxa"/>
            <w:vAlign w:val="bottom"/>
            <w:tcBorders>
              <w:bottom w:val="single" w:sz="8" w:color="007AA7"/>
            </w:tcBorders>
            <w:shd w:val="clear" w:color="auto" w:fill="E3EAEE"/>
          </w:tcPr>
          <w:p>
            <w:pPr>
              <w:jc w:val="center"/>
              <w:ind w:left="1"/>
              <w:spacing w:after="0"/>
              <w:rPr>
                <w:sz w:val="20"/>
                <w:szCs w:val="20"/>
                <w:color w:val="auto"/>
              </w:rPr>
            </w:pPr>
            <w:r>
              <w:rPr>
                <w:rFonts w:ascii="Arial" w:cs="Arial" w:eastAsia="Arial" w:hAnsi="Arial"/>
                <w:sz w:val="14"/>
                <w:szCs w:val="14"/>
                <w:b w:val="1"/>
                <w:bCs w:val="1"/>
                <w:color w:val="1478A3"/>
              </w:rPr>
              <w:t>($)</w:t>
            </w:r>
          </w:p>
        </w:tc>
        <w:tc>
          <w:tcPr>
            <w:tcW w:w="440" w:type="dxa"/>
            <w:vAlign w:val="bottom"/>
            <w:tcBorders>
              <w:bottom w:val="single" w:sz="8" w:color="007AA7"/>
            </w:tcBorders>
            <w:shd w:val="clear" w:color="auto" w:fill="E3EAEE"/>
          </w:tcPr>
          <w:p>
            <w:pPr>
              <w:spacing w:after="0"/>
              <w:rPr>
                <w:sz w:val="18"/>
                <w:szCs w:val="18"/>
                <w:color w:val="auto"/>
              </w:rPr>
            </w:pPr>
          </w:p>
        </w:tc>
        <w:tc>
          <w:tcPr>
            <w:tcW w:w="1580" w:type="dxa"/>
            <w:vAlign w:val="bottom"/>
            <w:tcBorders>
              <w:bottom w:val="single" w:sz="8" w:color="007AA7"/>
            </w:tcBorders>
            <w:shd w:val="clear" w:color="auto" w:fill="E3EAEE"/>
          </w:tcPr>
          <w:p>
            <w:pPr>
              <w:jc w:val="center"/>
              <w:ind w:right="86"/>
              <w:spacing w:after="0"/>
              <w:rPr>
                <w:sz w:val="20"/>
                <w:szCs w:val="20"/>
                <w:color w:val="auto"/>
              </w:rPr>
            </w:pPr>
            <w:r>
              <w:rPr>
                <w:rFonts w:ascii="Arial" w:cs="Arial" w:eastAsia="Arial" w:hAnsi="Arial"/>
                <w:sz w:val="14"/>
                <w:szCs w:val="14"/>
                <w:b w:val="1"/>
                <w:bCs w:val="1"/>
                <w:color w:val="1478A3"/>
              </w:rPr>
              <w:t>($)</w:t>
            </w:r>
          </w:p>
        </w:tc>
        <w:tc>
          <w:tcPr>
            <w:tcW w:w="580" w:type="dxa"/>
            <w:vAlign w:val="bottom"/>
            <w:tcBorders>
              <w:bottom w:val="single" w:sz="8" w:color="007AA7"/>
            </w:tcBorders>
            <w:shd w:val="clear" w:color="auto" w:fill="E3EAEE"/>
          </w:tcPr>
          <w:p>
            <w:pPr>
              <w:spacing w:after="0"/>
              <w:rPr>
                <w:sz w:val="18"/>
                <w:szCs w:val="18"/>
                <w:color w:val="auto"/>
              </w:rPr>
            </w:pPr>
          </w:p>
        </w:tc>
        <w:tc>
          <w:tcPr>
            <w:tcW w:w="1460" w:type="dxa"/>
            <w:vAlign w:val="bottom"/>
            <w:tcBorders>
              <w:bottom w:val="single" w:sz="8" w:color="007AA7"/>
            </w:tcBorders>
            <w:shd w:val="clear" w:color="auto" w:fill="E3EAEE"/>
          </w:tcPr>
          <w:p>
            <w:pPr>
              <w:jc w:val="right"/>
              <w:ind w:right="681"/>
              <w:spacing w:after="0"/>
              <w:rPr>
                <w:sz w:val="20"/>
                <w:szCs w:val="20"/>
                <w:color w:val="auto"/>
              </w:rPr>
            </w:pPr>
            <w:r>
              <w:rPr>
                <w:rFonts w:ascii="Arial" w:cs="Arial" w:eastAsia="Arial" w:hAnsi="Arial"/>
                <w:sz w:val="14"/>
                <w:szCs w:val="14"/>
                <w:b w:val="1"/>
                <w:bCs w:val="1"/>
                <w:color w:val="1478A3"/>
              </w:rPr>
              <w:t>($)</w:t>
            </w:r>
          </w:p>
        </w:tc>
        <w:tc>
          <w:tcPr>
            <w:tcW w:w="0" w:type="dxa"/>
            <w:vAlign w:val="bottom"/>
          </w:tcPr>
          <w:p>
            <w:pPr>
              <w:spacing w:after="0"/>
              <w:rPr>
                <w:sz w:val="1"/>
                <w:szCs w:val="1"/>
                <w:color w:val="auto"/>
              </w:rPr>
            </w:pPr>
          </w:p>
        </w:tc>
      </w:tr>
      <w:tr>
        <w:trPr>
          <w:trHeight w:val="221"/>
        </w:trPr>
        <w:tc>
          <w:tcPr>
            <w:tcW w:w="2000" w:type="dxa"/>
            <w:vAlign w:val="bottom"/>
            <w:gridSpan w:val="2"/>
          </w:tcPr>
          <w:p>
            <w:pPr>
              <w:ind w:left="140"/>
              <w:spacing w:after="0"/>
              <w:rPr>
                <w:sz w:val="20"/>
                <w:szCs w:val="20"/>
                <w:color w:val="auto"/>
              </w:rPr>
            </w:pPr>
            <w:r>
              <w:rPr>
                <w:rFonts w:ascii="Arial" w:cs="Arial" w:eastAsia="Arial" w:hAnsi="Arial"/>
                <w:sz w:val="16"/>
                <w:szCs w:val="16"/>
                <w:color w:val="3E474E"/>
              </w:rPr>
              <w:t>George F. Allen</w:t>
            </w:r>
          </w:p>
        </w:tc>
        <w:tc>
          <w:tcPr>
            <w:tcW w:w="2360" w:type="dxa"/>
            <w:vAlign w:val="bottom"/>
          </w:tcPr>
          <w:p>
            <w:pPr>
              <w:jc w:val="right"/>
              <w:ind w:right="1"/>
              <w:spacing w:after="0"/>
              <w:rPr>
                <w:sz w:val="20"/>
                <w:szCs w:val="20"/>
                <w:color w:val="auto"/>
              </w:rPr>
            </w:pPr>
            <w:r>
              <w:rPr>
                <w:rFonts w:ascii="Arial" w:cs="Arial" w:eastAsia="Arial" w:hAnsi="Arial"/>
                <w:sz w:val="16"/>
                <w:szCs w:val="16"/>
                <w:color w:val="3E474E"/>
              </w:rPr>
              <w:t>65,000</w:t>
            </w:r>
          </w:p>
        </w:tc>
        <w:tc>
          <w:tcPr>
            <w:tcW w:w="120" w:type="dxa"/>
            <w:vAlign w:val="bottom"/>
          </w:tcPr>
          <w:p>
            <w:pPr>
              <w:spacing w:after="0"/>
              <w:rPr>
                <w:sz w:val="19"/>
                <w:szCs w:val="19"/>
                <w:color w:val="auto"/>
              </w:rPr>
            </w:pPr>
          </w:p>
        </w:tc>
        <w:tc>
          <w:tcPr>
            <w:tcW w:w="2020" w:type="dxa"/>
            <w:vAlign w:val="bottom"/>
          </w:tcPr>
          <w:p>
            <w:pPr>
              <w:jc w:val="right"/>
              <w:ind w:right="61"/>
              <w:spacing w:after="0"/>
              <w:rPr>
                <w:sz w:val="20"/>
                <w:szCs w:val="20"/>
                <w:color w:val="auto"/>
              </w:rPr>
            </w:pPr>
            <w:r>
              <w:rPr>
                <w:rFonts w:ascii="Arial" w:cs="Arial" w:eastAsia="Arial" w:hAnsi="Arial"/>
                <w:sz w:val="16"/>
                <w:szCs w:val="16"/>
                <w:color w:val="3E474E"/>
              </w:rPr>
              <w:t>48,501</w:t>
            </w: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3E474E"/>
              </w:rPr>
              <w:t>113,501</w:t>
            </w:r>
          </w:p>
        </w:tc>
        <w:tc>
          <w:tcPr>
            <w:tcW w:w="0" w:type="dxa"/>
            <w:vAlign w:val="bottom"/>
          </w:tcPr>
          <w:p>
            <w:pPr>
              <w:spacing w:after="0"/>
              <w:rPr>
                <w:sz w:val="1"/>
                <w:szCs w:val="1"/>
                <w:color w:val="auto"/>
              </w:rPr>
            </w:pPr>
          </w:p>
        </w:tc>
      </w:tr>
      <w:tr>
        <w:trPr>
          <w:trHeight w:val="243"/>
        </w:trPr>
        <w:tc>
          <w:tcPr>
            <w:tcW w:w="2000" w:type="dxa"/>
            <w:vAlign w:val="bottom"/>
            <w:gridSpan w:val="2"/>
          </w:tcPr>
          <w:p>
            <w:pPr>
              <w:ind w:left="140"/>
              <w:spacing w:after="0"/>
              <w:rPr>
                <w:sz w:val="20"/>
                <w:szCs w:val="20"/>
                <w:color w:val="auto"/>
              </w:rPr>
            </w:pPr>
            <w:r>
              <w:rPr>
                <w:rFonts w:ascii="Arial" w:cs="Arial" w:eastAsia="Arial" w:hAnsi="Arial"/>
                <w:sz w:val="16"/>
                <w:szCs w:val="16"/>
                <w:color w:val="3E474E"/>
              </w:rPr>
              <w:t>Jennifer R. Boykin</w:t>
            </w:r>
          </w:p>
        </w:tc>
        <w:tc>
          <w:tcPr>
            <w:tcW w:w="2360" w:type="dxa"/>
            <w:vAlign w:val="bottom"/>
          </w:tcPr>
          <w:p>
            <w:pPr>
              <w:jc w:val="right"/>
              <w:ind w:right="1"/>
              <w:spacing w:after="0"/>
              <w:rPr>
                <w:sz w:val="20"/>
                <w:szCs w:val="20"/>
                <w:color w:val="auto"/>
              </w:rPr>
            </w:pPr>
            <w:r>
              <w:rPr>
                <w:rFonts w:ascii="Arial" w:cs="Arial" w:eastAsia="Arial" w:hAnsi="Arial"/>
                <w:sz w:val="16"/>
                <w:szCs w:val="16"/>
                <w:color w:val="3E474E"/>
              </w:rPr>
              <w:t>42,931</w:t>
            </w:r>
          </w:p>
        </w:tc>
        <w:tc>
          <w:tcPr>
            <w:tcW w:w="120" w:type="dxa"/>
            <w:vAlign w:val="bottom"/>
          </w:tcPr>
          <w:p>
            <w:pPr>
              <w:spacing w:after="0"/>
              <w:rPr>
                <w:sz w:val="21"/>
                <w:szCs w:val="21"/>
                <w:color w:val="auto"/>
              </w:rPr>
            </w:pPr>
          </w:p>
        </w:tc>
        <w:tc>
          <w:tcPr>
            <w:tcW w:w="2020" w:type="dxa"/>
            <w:vAlign w:val="bottom"/>
          </w:tcPr>
          <w:p>
            <w:pPr>
              <w:jc w:val="right"/>
              <w:ind w:right="61"/>
              <w:spacing w:after="0"/>
              <w:rPr>
                <w:sz w:val="20"/>
                <w:szCs w:val="20"/>
                <w:color w:val="auto"/>
              </w:rPr>
            </w:pPr>
            <w:r>
              <w:rPr>
                <w:rFonts w:ascii="Arial" w:cs="Arial" w:eastAsia="Arial" w:hAnsi="Arial"/>
                <w:sz w:val="16"/>
                <w:szCs w:val="16"/>
                <w:color w:val="3E474E"/>
              </w:rPr>
              <w:t>48,501</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3E474E"/>
              </w:rPr>
              <w:t>91,432</w:t>
            </w:r>
          </w:p>
        </w:tc>
        <w:tc>
          <w:tcPr>
            <w:tcW w:w="0" w:type="dxa"/>
            <w:vAlign w:val="bottom"/>
          </w:tcPr>
          <w:p>
            <w:pPr>
              <w:spacing w:after="0"/>
              <w:rPr>
                <w:sz w:val="1"/>
                <w:szCs w:val="1"/>
                <w:color w:val="auto"/>
              </w:rPr>
            </w:pPr>
          </w:p>
        </w:tc>
      </w:tr>
      <w:tr>
        <w:trPr>
          <w:trHeight w:val="243"/>
        </w:trPr>
        <w:tc>
          <w:tcPr>
            <w:tcW w:w="2000" w:type="dxa"/>
            <w:vAlign w:val="bottom"/>
            <w:gridSpan w:val="2"/>
          </w:tcPr>
          <w:p>
            <w:pPr>
              <w:ind w:left="140"/>
              <w:spacing w:after="0"/>
              <w:rPr>
                <w:sz w:val="20"/>
                <w:szCs w:val="20"/>
                <w:color w:val="auto"/>
              </w:rPr>
            </w:pPr>
            <w:r>
              <w:rPr>
                <w:rFonts w:ascii="Arial" w:cs="Arial" w:eastAsia="Arial" w:hAnsi="Arial"/>
                <w:sz w:val="16"/>
                <w:szCs w:val="16"/>
                <w:color w:val="3E474E"/>
              </w:rPr>
              <w:t>James A. Carroll</w:t>
            </w:r>
          </w:p>
        </w:tc>
        <w:tc>
          <w:tcPr>
            <w:tcW w:w="2360" w:type="dxa"/>
            <w:vAlign w:val="bottom"/>
          </w:tcPr>
          <w:p>
            <w:pPr>
              <w:jc w:val="right"/>
              <w:ind w:right="1"/>
              <w:spacing w:after="0"/>
              <w:rPr>
                <w:sz w:val="20"/>
                <w:szCs w:val="20"/>
                <w:color w:val="auto"/>
              </w:rPr>
            </w:pPr>
            <w:r>
              <w:rPr>
                <w:rFonts w:ascii="Arial" w:cs="Arial" w:eastAsia="Arial" w:hAnsi="Arial"/>
                <w:sz w:val="16"/>
                <w:szCs w:val="16"/>
                <w:color w:val="3E474E"/>
              </w:rPr>
              <w:t>56,250</w:t>
            </w:r>
          </w:p>
        </w:tc>
        <w:tc>
          <w:tcPr>
            <w:tcW w:w="120" w:type="dxa"/>
            <w:vAlign w:val="bottom"/>
          </w:tcPr>
          <w:p>
            <w:pPr>
              <w:spacing w:after="0"/>
              <w:rPr>
                <w:sz w:val="21"/>
                <w:szCs w:val="21"/>
                <w:color w:val="auto"/>
              </w:rPr>
            </w:pPr>
          </w:p>
        </w:tc>
        <w:tc>
          <w:tcPr>
            <w:tcW w:w="2020" w:type="dxa"/>
            <w:vAlign w:val="bottom"/>
          </w:tcPr>
          <w:p>
            <w:pPr>
              <w:jc w:val="right"/>
              <w:ind w:right="61"/>
              <w:spacing w:after="0"/>
              <w:rPr>
                <w:sz w:val="20"/>
                <w:szCs w:val="20"/>
                <w:color w:val="auto"/>
              </w:rPr>
            </w:pPr>
            <w:r>
              <w:rPr>
                <w:rFonts w:ascii="Arial" w:cs="Arial" w:eastAsia="Arial" w:hAnsi="Arial"/>
                <w:sz w:val="16"/>
                <w:szCs w:val="16"/>
                <w:color w:val="3E474E"/>
              </w:rPr>
              <w:t>67,251</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3E474E"/>
              </w:rPr>
              <w:t>123,501</w:t>
            </w:r>
          </w:p>
        </w:tc>
        <w:tc>
          <w:tcPr>
            <w:tcW w:w="0" w:type="dxa"/>
            <w:vAlign w:val="bottom"/>
          </w:tcPr>
          <w:p>
            <w:pPr>
              <w:spacing w:after="0"/>
              <w:rPr>
                <w:sz w:val="1"/>
                <w:szCs w:val="1"/>
                <w:color w:val="auto"/>
              </w:rPr>
            </w:pPr>
          </w:p>
        </w:tc>
      </w:tr>
      <w:tr>
        <w:trPr>
          <w:trHeight w:val="243"/>
        </w:trPr>
        <w:tc>
          <w:tcPr>
            <w:tcW w:w="2000" w:type="dxa"/>
            <w:vAlign w:val="bottom"/>
            <w:gridSpan w:val="2"/>
          </w:tcPr>
          <w:p>
            <w:pPr>
              <w:ind w:left="140"/>
              <w:spacing w:after="0"/>
              <w:rPr>
                <w:sz w:val="20"/>
                <w:szCs w:val="20"/>
                <w:color w:val="auto"/>
              </w:rPr>
            </w:pPr>
            <w:r>
              <w:rPr>
                <w:rFonts w:ascii="Arial" w:cs="Arial" w:eastAsia="Arial" w:hAnsi="Arial"/>
                <w:sz w:val="16"/>
                <w:szCs w:val="16"/>
                <w:color w:val="3E474E"/>
              </w:rPr>
              <w:t>James C. Cherry</w:t>
            </w:r>
          </w:p>
        </w:tc>
        <w:tc>
          <w:tcPr>
            <w:tcW w:w="2360" w:type="dxa"/>
            <w:vAlign w:val="bottom"/>
          </w:tcPr>
          <w:p>
            <w:pPr>
              <w:jc w:val="right"/>
              <w:ind w:right="1"/>
              <w:spacing w:after="0"/>
              <w:rPr>
                <w:sz w:val="20"/>
                <w:szCs w:val="20"/>
                <w:color w:val="auto"/>
              </w:rPr>
            </w:pPr>
            <w:r>
              <w:rPr>
                <w:rFonts w:ascii="Arial" w:cs="Arial" w:eastAsia="Arial" w:hAnsi="Arial"/>
                <w:sz w:val="16"/>
                <w:szCs w:val="16"/>
                <w:color w:val="3E474E"/>
              </w:rPr>
              <w:t>65,000</w:t>
            </w:r>
          </w:p>
        </w:tc>
        <w:tc>
          <w:tcPr>
            <w:tcW w:w="120" w:type="dxa"/>
            <w:vAlign w:val="bottom"/>
          </w:tcPr>
          <w:p>
            <w:pPr>
              <w:spacing w:after="0"/>
              <w:rPr>
                <w:sz w:val="21"/>
                <w:szCs w:val="21"/>
                <w:color w:val="auto"/>
              </w:rPr>
            </w:pPr>
          </w:p>
        </w:tc>
        <w:tc>
          <w:tcPr>
            <w:tcW w:w="2020" w:type="dxa"/>
            <w:vAlign w:val="bottom"/>
          </w:tcPr>
          <w:p>
            <w:pPr>
              <w:jc w:val="right"/>
              <w:ind w:right="61"/>
              <w:spacing w:after="0"/>
              <w:rPr>
                <w:sz w:val="20"/>
                <w:szCs w:val="20"/>
                <w:color w:val="auto"/>
              </w:rPr>
            </w:pPr>
            <w:r>
              <w:rPr>
                <w:rFonts w:ascii="Arial" w:cs="Arial" w:eastAsia="Arial" w:hAnsi="Arial"/>
                <w:sz w:val="16"/>
                <w:szCs w:val="16"/>
                <w:color w:val="3E474E"/>
              </w:rPr>
              <w:t>48,501</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3E474E"/>
              </w:rPr>
              <w:t>113,501</w:t>
            </w:r>
          </w:p>
        </w:tc>
        <w:tc>
          <w:tcPr>
            <w:tcW w:w="0" w:type="dxa"/>
            <w:vAlign w:val="bottom"/>
          </w:tcPr>
          <w:p>
            <w:pPr>
              <w:spacing w:after="0"/>
              <w:rPr>
                <w:sz w:val="1"/>
                <w:szCs w:val="1"/>
                <w:color w:val="auto"/>
              </w:rPr>
            </w:pPr>
          </w:p>
        </w:tc>
      </w:tr>
      <w:tr>
        <w:trPr>
          <w:trHeight w:val="243"/>
        </w:trPr>
        <w:tc>
          <w:tcPr>
            <w:tcW w:w="2000" w:type="dxa"/>
            <w:vAlign w:val="bottom"/>
            <w:gridSpan w:val="2"/>
          </w:tcPr>
          <w:p>
            <w:pPr>
              <w:ind w:left="140"/>
              <w:spacing w:after="0"/>
              <w:rPr>
                <w:sz w:val="20"/>
                <w:szCs w:val="20"/>
                <w:color w:val="auto"/>
              </w:rPr>
            </w:pPr>
            <w:r>
              <w:rPr>
                <w:rFonts w:ascii="Arial" w:cs="Arial" w:eastAsia="Arial" w:hAnsi="Arial"/>
                <w:sz w:val="16"/>
                <w:szCs w:val="16"/>
                <w:color w:val="3E474E"/>
              </w:rPr>
              <w:t>Dennis H. Gartman</w:t>
            </w:r>
          </w:p>
        </w:tc>
        <w:tc>
          <w:tcPr>
            <w:tcW w:w="2360" w:type="dxa"/>
            <w:vAlign w:val="bottom"/>
          </w:tcPr>
          <w:p>
            <w:pPr>
              <w:jc w:val="right"/>
              <w:ind w:right="1"/>
              <w:spacing w:after="0"/>
              <w:rPr>
                <w:sz w:val="20"/>
                <w:szCs w:val="20"/>
                <w:color w:val="auto"/>
              </w:rPr>
            </w:pPr>
            <w:r>
              <w:rPr>
                <w:rFonts w:ascii="Arial" w:cs="Arial" w:eastAsia="Arial" w:hAnsi="Arial"/>
                <w:sz w:val="16"/>
                <w:szCs w:val="16"/>
                <w:color w:val="3E474E"/>
              </w:rPr>
              <w:t>—</w:t>
            </w:r>
          </w:p>
        </w:tc>
        <w:tc>
          <w:tcPr>
            <w:tcW w:w="120" w:type="dxa"/>
            <w:vAlign w:val="bottom"/>
          </w:tcPr>
          <w:p>
            <w:pPr>
              <w:spacing w:after="0"/>
              <w:rPr>
                <w:sz w:val="21"/>
                <w:szCs w:val="21"/>
                <w:color w:val="auto"/>
              </w:rPr>
            </w:pPr>
          </w:p>
        </w:tc>
        <w:tc>
          <w:tcPr>
            <w:tcW w:w="2020" w:type="dxa"/>
            <w:vAlign w:val="bottom"/>
          </w:tcPr>
          <w:p>
            <w:pPr>
              <w:jc w:val="right"/>
              <w:ind w:right="61"/>
              <w:spacing w:after="0"/>
              <w:rPr>
                <w:sz w:val="20"/>
                <w:szCs w:val="20"/>
                <w:color w:val="auto"/>
              </w:rPr>
            </w:pPr>
            <w:r>
              <w:rPr>
                <w:rFonts w:ascii="Arial" w:cs="Arial" w:eastAsia="Arial" w:hAnsi="Arial"/>
                <w:sz w:val="16"/>
                <w:szCs w:val="16"/>
                <w:color w:val="3E474E"/>
              </w:rPr>
              <w:t>108,899</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3E474E"/>
              </w:rPr>
              <w:t>108,899</w:t>
            </w:r>
          </w:p>
        </w:tc>
        <w:tc>
          <w:tcPr>
            <w:tcW w:w="0" w:type="dxa"/>
            <w:vAlign w:val="bottom"/>
          </w:tcPr>
          <w:p>
            <w:pPr>
              <w:spacing w:after="0"/>
              <w:rPr>
                <w:sz w:val="1"/>
                <w:szCs w:val="1"/>
                <w:color w:val="auto"/>
              </w:rPr>
            </w:pPr>
          </w:p>
        </w:tc>
      </w:tr>
      <w:tr>
        <w:trPr>
          <w:trHeight w:val="136"/>
        </w:trPr>
        <w:tc>
          <w:tcPr>
            <w:tcW w:w="2000" w:type="dxa"/>
            <w:vAlign w:val="bottom"/>
            <w:gridSpan w:val="2"/>
            <w:vMerge w:val="restart"/>
          </w:tcPr>
          <w:p>
            <w:pPr>
              <w:ind w:left="140"/>
              <w:spacing w:after="0"/>
              <w:rPr>
                <w:sz w:val="20"/>
                <w:szCs w:val="20"/>
                <w:color w:val="auto"/>
              </w:rPr>
            </w:pPr>
            <w:r>
              <w:rPr>
                <w:rFonts w:ascii="Arial" w:cs="Arial" w:eastAsia="Arial" w:hAnsi="Arial"/>
                <w:sz w:val="16"/>
                <w:szCs w:val="16"/>
                <w:color w:val="3E474E"/>
              </w:rPr>
              <w:t>Louis S. Haddad</w:t>
            </w:r>
          </w:p>
        </w:tc>
        <w:tc>
          <w:tcPr>
            <w:tcW w:w="2360" w:type="dxa"/>
            <w:vAlign w:val="bottom"/>
            <w:vMerge w:val="restart"/>
          </w:tcPr>
          <w:p>
            <w:pPr>
              <w:jc w:val="right"/>
              <w:ind w:right="1"/>
              <w:spacing w:after="0"/>
              <w:rPr>
                <w:sz w:val="20"/>
                <w:szCs w:val="20"/>
                <w:color w:val="auto"/>
              </w:rPr>
            </w:pPr>
            <w:r>
              <w:rPr>
                <w:rFonts w:ascii="Arial" w:cs="Arial" w:eastAsia="Arial" w:hAnsi="Arial"/>
                <w:sz w:val="16"/>
                <w:szCs w:val="16"/>
                <w:color w:val="3E474E"/>
              </w:rPr>
              <w:t>323,183</w:t>
            </w:r>
          </w:p>
        </w:tc>
        <w:tc>
          <w:tcPr>
            <w:tcW w:w="120" w:type="dxa"/>
            <w:vAlign w:val="bottom"/>
          </w:tcPr>
          <w:p>
            <w:pPr>
              <w:jc w:val="right"/>
              <w:spacing w:after="0"/>
              <w:rPr>
                <w:sz w:val="20"/>
                <w:szCs w:val="20"/>
                <w:color w:val="auto"/>
              </w:rPr>
            </w:pPr>
            <w:r>
              <w:rPr>
                <w:rFonts w:ascii="Arial" w:cs="Arial" w:eastAsia="Arial" w:hAnsi="Arial"/>
                <w:sz w:val="8"/>
                <w:szCs w:val="8"/>
                <w:color w:val="3E474E"/>
              </w:rPr>
              <w:t>(3)</w:t>
            </w:r>
          </w:p>
        </w:tc>
        <w:tc>
          <w:tcPr>
            <w:tcW w:w="2020" w:type="dxa"/>
            <w:vAlign w:val="bottom"/>
            <w:vMerge w:val="restart"/>
          </w:tcPr>
          <w:p>
            <w:pPr>
              <w:jc w:val="right"/>
              <w:ind w:right="61"/>
              <w:spacing w:after="0"/>
              <w:rPr>
                <w:sz w:val="20"/>
                <w:szCs w:val="20"/>
                <w:color w:val="auto"/>
              </w:rPr>
            </w:pPr>
            <w:r>
              <w:rPr>
                <w:rFonts w:ascii="Arial" w:cs="Arial" w:eastAsia="Arial" w:hAnsi="Arial"/>
                <w:sz w:val="16"/>
                <w:szCs w:val="16"/>
                <w:color w:val="3E474E"/>
              </w:rPr>
              <w:t>1,623,904</w:t>
            </w:r>
          </w:p>
        </w:tc>
        <w:tc>
          <w:tcPr>
            <w:tcW w:w="440" w:type="dxa"/>
            <w:vAlign w:val="bottom"/>
          </w:tcPr>
          <w:p>
            <w:pPr>
              <w:jc w:val="right"/>
              <w:ind w:right="159"/>
              <w:spacing w:after="0"/>
              <w:rPr>
                <w:sz w:val="20"/>
                <w:szCs w:val="20"/>
                <w:color w:val="auto"/>
              </w:rPr>
            </w:pPr>
            <w:r>
              <w:rPr>
                <w:rFonts w:ascii="Arial" w:cs="Arial" w:eastAsia="Arial" w:hAnsi="Arial"/>
                <w:sz w:val="8"/>
                <w:szCs w:val="8"/>
                <w:color w:val="3E474E"/>
              </w:rPr>
              <w:t>(4)</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3E474E"/>
              </w:rPr>
              <w:t>58,019</w:t>
            </w:r>
          </w:p>
        </w:tc>
        <w:tc>
          <w:tcPr>
            <w:tcW w:w="580" w:type="dxa"/>
            <w:vAlign w:val="bottom"/>
          </w:tcPr>
          <w:p>
            <w:pPr>
              <w:jc w:val="right"/>
              <w:ind w:right="379"/>
              <w:spacing w:after="0"/>
              <w:rPr>
                <w:sz w:val="20"/>
                <w:szCs w:val="20"/>
                <w:color w:val="auto"/>
              </w:rPr>
            </w:pPr>
            <w:r>
              <w:rPr>
                <w:rFonts w:ascii="Arial" w:cs="Arial" w:eastAsia="Arial" w:hAnsi="Arial"/>
                <w:sz w:val="8"/>
                <w:szCs w:val="8"/>
                <w:color w:val="3E474E"/>
              </w:rPr>
              <w:t>(5)</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3E474E"/>
              </w:rPr>
              <w:t>2,005,106</w:t>
            </w:r>
          </w:p>
        </w:tc>
        <w:tc>
          <w:tcPr>
            <w:tcW w:w="0" w:type="dxa"/>
            <w:vAlign w:val="bottom"/>
          </w:tcPr>
          <w:p>
            <w:pPr>
              <w:spacing w:after="0"/>
              <w:rPr>
                <w:sz w:val="1"/>
                <w:szCs w:val="1"/>
                <w:color w:val="auto"/>
              </w:rPr>
            </w:pPr>
          </w:p>
        </w:tc>
      </w:tr>
      <w:tr>
        <w:trPr>
          <w:trHeight w:val="107"/>
        </w:trPr>
        <w:tc>
          <w:tcPr>
            <w:tcW w:w="2000" w:type="dxa"/>
            <w:vAlign w:val="bottom"/>
            <w:gridSpan w:val="2"/>
            <w:vMerge w:val="continue"/>
          </w:tcPr>
          <w:p>
            <w:pPr>
              <w:spacing w:after="0"/>
              <w:rPr>
                <w:sz w:val="9"/>
                <w:szCs w:val="9"/>
                <w:color w:val="auto"/>
              </w:rPr>
            </w:pPr>
          </w:p>
        </w:tc>
        <w:tc>
          <w:tcPr>
            <w:tcW w:w="2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2000" w:type="dxa"/>
            <w:vAlign w:val="bottom"/>
            <w:gridSpan w:val="2"/>
          </w:tcPr>
          <w:p>
            <w:pPr>
              <w:ind w:left="140"/>
              <w:spacing w:after="0"/>
              <w:rPr>
                <w:sz w:val="20"/>
                <w:szCs w:val="20"/>
                <w:color w:val="auto"/>
              </w:rPr>
            </w:pPr>
            <w:r>
              <w:rPr>
                <w:rFonts w:ascii="Arial" w:cs="Arial" w:eastAsia="Arial" w:hAnsi="Arial"/>
                <w:sz w:val="16"/>
                <w:szCs w:val="16"/>
                <w:color w:val="3E474E"/>
              </w:rPr>
              <w:t xml:space="preserve">Eva S. Hardy </w:t>
            </w:r>
            <w:r>
              <w:rPr>
                <w:rFonts w:ascii="Arial" w:cs="Arial" w:eastAsia="Arial" w:hAnsi="Arial"/>
                <w:sz w:val="21"/>
                <w:szCs w:val="21"/>
                <w:color w:val="3E474E"/>
                <w:vertAlign w:val="superscript"/>
              </w:rPr>
              <w:t>(6)</w:t>
            </w:r>
          </w:p>
        </w:tc>
        <w:tc>
          <w:tcPr>
            <w:tcW w:w="2360" w:type="dxa"/>
            <w:vAlign w:val="bottom"/>
          </w:tcPr>
          <w:p>
            <w:pPr>
              <w:jc w:val="right"/>
              <w:ind w:right="1"/>
              <w:spacing w:after="0"/>
              <w:rPr>
                <w:sz w:val="20"/>
                <w:szCs w:val="20"/>
                <w:color w:val="auto"/>
              </w:rPr>
            </w:pPr>
            <w:r>
              <w:rPr>
                <w:rFonts w:ascii="Arial" w:cs="Arial" w:eastAsia="Arial" w:hAnsi="Arial"/>
                <w:sz w:val="16"/>
                <w:szCs w:val="16"/>
                <w:color w:val="3E474E"/>
              </w:rPr>
              <w:t>35,000</w:t>
            </w: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3E474E"/>
              </w:rPr>
              <w:t>35,000</w:t>
            </w:r>
          </w:p>
        </w:tc>
        <w:tc>
          <w:tcPr>
            <w:tcW w:w="0" w:type="dxa"/>
            <w:vAlign w:val="bottom"/>
          </w:tcPr>
          <w:p>
            <w:pPr>
              <w:spacing w:after="0"/>
              <w:rPr>
                <w:sz w:val="1"/>
                <w:szCs w:val="1"/>
                <w:color w:val="auto"/>
              </w:rPr>
            </w:pPr>
          </w:p>
        </w:tc>
      </w:tr>
      <w:tr>
        <w:trPr>
          <w:trHeight w:val="215"/>
        </w:trPr>
        <w:tc>
          <w:tcPr>
            <w:tcW w:w="2000" w:type="dxa"/>
            <w:vAlign w:val="bottom"/>
            <w:gridSpan w:val="2"/>
          </w:tcPr>
          <w:p>
            <w:pPr>
              <w:ind w:left="140"/>
              <w:spacing w:after="0"/>
              <w:rPr>
                <w:sz w:val="20"/>
                <w:szCs w:val="20"/>
                <w:color w:val="auto"/>
              </w:rPr>
            </w:pPr>
            <w:r>
              <w:rPr>
                <w:rFonts w:ascii="Arial" w:cs="Arial" w:eastAsia="Arial" w:hAnsi="Arial"/>
                <w:sz w:val="16"/>
                <w:szCs w:val="16"/>
                <w:color w:val="3E474E"/>
              </w:rPr>
              <w:t>Daniel A. Hoffler</w:t>
            </w:r>
          </w:p>
        </w:tc>
        <w:tc>
          <w:tcPr>
            <w:tcW w:w="2360" w:type="dxa"/>
            <w:vAlign w:val="bottom"/>
          </w:tcPr>
          <w:p>
            <w:pPr>
              <w:jc w:val="right"/>
              <w:ind w:right="1"/>
              <w:spacing w:after="0"/>
              <w:rPr>
                <w:sz w:val="20"/>
                <w:szCs w:val="20"/>
                <w:color w:val="auto"/>
              </w:rPr>
            </w:pPr>
            <w:r>
              <w:rPr>
                <w:rFonts w:ascii="Arial" w:cs="Arial" w:eastAsia="Arial" w:hAnsi="Arial"/>
                <w:sz w:val="16"/>
                <w:szCs w:val="16"/>
                <w:color w:val="3E474E"/>
              </w:rPr>
              <w:t>67,500</w:t>
            </w:r>
          </w:p>
        </w:tc>
        <w:tc>
          <w:tcPr>
            <w:tcW w:w="120" w:type="dxa"/>
            <w:vAlign w:val="bottom"/>
          </w:tcPr>
          <w:p>
            <w:pPr>
              <w:spacing w:after="0"/>
              <w:rPr>
                <w:sz w:val="18"/>
                <w:szCs w:val="18"/>
                <w:color w:val="auto"/>
              </w:rPr>
            </w:pPr>
          </w:p>
        </w:tc>
        <w:tc>
          <w:tcPr>
            <w:tcW w:w="2020" w:type="dxa"/>
            <w:vAlign w:val="bottom"/>
          </w:tcPr>
          <w:p>
            <w:pPr>
              <w:jc w:val="right"/>
              <w:ind w:right="61"/>
              <w:spacing w:after="0"/>
              <w:rPr>
                <w:sz w:val="20"/>
                <w:szCs w:val="20"/>
                <w:color w:val="auto"/>
              </w:rPr>
            </w:pPr>
            <w:r>
              <w:rPr>
                <w:rFonts w:ascii="Arial" w:cs="Arial" w:eastAsia="Arial" w:hAnsi="Arial"/>
                <w:sz w:val="16"/>
                <w:szCs w:val="16"/>
                <w:color w:val="3E474E"/>
              </w:rPr>
              <w:t>48,501</w:t>
            </w: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3E474E"/>
              </w:rPr>
              <w:t>116,001</w:t>
            </w:r>
          </w:p>
        </w:tc>
        <w:tc>
          <w:tcPr>
            <w:tcW w:w="0" w:type="dxa"/>
            <w:vAlign w:val="bottom"/>
          </w:tcPr>
          <w:p>
            <w:pPr>
              <w:spacing w:after="0"/>
              <w:rPr>
                <w:sz w:val="1"/>
                <w:szCs w:val="1"/>
                <w:color w:val="auto"/>
              </w:rPr>
            </w:pPr>
          </w:p>
        </w:tc>
      </w:tr>
      <w:tr>
        <w:trPr>
          <w:trHeight w:val="271"/>
        </w:trPr>
        <w:tc>
          <w:tcPr>
            <w:tcW w:w="2000" w:type="dxa"/>
            <w:vAlign w:val="bottom"/>
            <w:gridSpan w:val="2"/>
          </w:tcPr>
          <w:p>
            <w:pPr>
              <w:ind w:left="140"/>
              <w:spacing w:after="0"/>
              <w:rPr>
                <w:sz w:val="20"/>
                <w:szCs w:val="20"/>
                <w:color w:val="auto"/>
              </w:rPr>
            </w:pPr>
            <w:r>
              <w:rPr>
                <w:rFonts w:ascii="Arial" w:cs="Arial" w:eastAsia="Arial" w:hAnsi="Arial"/>
                <w:sz w:val="16"/>
                <w:szCs w:val="16"/>
                <w:color w:val="3E474E"/>
              </w:rPr>
              <w:t xml:space="preserve">A. Russell Kirk </w:t>
            </w:r>
            <w:r>
              <w:rPr>
                <w:rFonts w:ascii="Arial" w:cs="Arial" w:eastAsia="Arial" w:hAnsi="Arial"/>
                <w:sz w:val="21"/>
                <w:szCs w:val="21"/>
                <w:color w:val="3E474E"/>
                <w:vertAlign w:val="superscript"/>
              </w:rPr>
              <w:t>(7)</w:t>
            </w:r>
          </w:p>
        </w:tc>
        <w:tc>
          <w:tcPr>
            <w:tcW w:w="2360" w:type="dxa"/>
            <w:vAlign w:val="bottom"/>
          </w:tcPr>
          <w:p>
            <w:pPr>
              <w:jc w:val="right"/>
              <w:ind w:right="1"/>
              <w:spacing w:after="0"/>
              <w:rPr>
                <w:sz w:val="20"/>
                <w:szCs w:val="20"/>
                <w:color w:val="auto"/>
              </w:rPr>
            </w:pPr>
            <w:r>
              <w:rPr>
                <w:rFonts w:ascii="Arial" w:cs="Arial" w:eastAsia="Arial" w:hAnsi="Arial"/>
                <w:sz w:val="16"/>
                <w:szCs w:val="16"/>
                <w:color w:val="3E474E"/>
              </w:rPr>
              <w:t>27,500</w:t>
            </w:r>
          </w:p>
        </w:tc>
        <w:tc>
          <w:tcPr>
            <w:tcW w:w="120" w:type="dxa"/>
            <w:vAlign w:val="bottom"/>
          </w:tcPr>
          <w:p>
            <w:pPr>
              <w:spacing w:after="0"/>
              <w:rPr>
                <w:sz w:val="23"/>
                <w:szCs w:val="23"/>
                <w:color w:val="auto"/>
              </w:rPr>
            </w:pPr>
          </w:p>
        </w:tc>
        <w:tc>
          <w:tcPr>
            <w:tcW w:w="2020" w:type="dxa"/>
            <w:vAlign w:val="bottom"/>
          </w:tcPr>
          <w:p>
            <w:pPr>
              <w:jc w:val="right"/>
              <w:ind w:right="61"/>
              <w:spacing w:after="0"/>
              <w:rPr>
                <w:sz w:val="20"/>
                <w:szCs w:val="20"/>
                <w:color w:val="auto"/>
              </w:rPr>
            </w:pPr>
            <w:r>
              <w:rPr>
                <w:rFonts w:ascii="Arial" w:cs="Arial" w:eastAsia="Arial" w:hAnsi="Arial"/>
                <w:sz w:val="16"/>
                <w:szCs w:val="16"/>
                <w:color w:val="3E474E"/>
              </w:rPr>
              <w:t>—</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3E474E"/>
              </w:rPr>
              <w:t>27,500</w:t>
            </w:r>
          </w:p>
        </w:tc>
        <w:tc>
          <w:tcPr>
            <w:tcW w:w="0" w:type="dxa"/>
            <w:vAlign w:val="bottom"/>
          </w:tcPr>
          <w:p>
            <w:pPr>
              <w:spacing w:after="0"/>
              <w:rPr>
                <w:sz w:val="1"/>
                <w:szCs w:val="1"/>
                <w:color w:val="auto"/>
              </w:rPr>
            </w:pPr>
          </w:p>
        </w:tc>
      </w:tr>
      <w:tr>
        <w:trPr>
          <w:trHeight w:val="215"/>
        </w:trPr>
        <w:tc>
          <w:tcPr>
            <w:tcW w:w="2000" w:type="dxa"/>
            <w:vAlign w:val="bottom"/>
            <w:gridSpan w:val="2"/>
          </w:tcPr>
          <w:p>
            <w:pPr>
              <w:ind w:left="140"/>
              <w:spacing w:after="0"/>
              <w:rPr>
                <w:sz w:val="20"/>
                <w:szCs w:val="20"/>
                <w:color w:val="auto"/>
              </w:rPr>
            </w:pPr>
            <w:r>
              <w:rPr>
                <w:rFonts w:ascii="Arial" w:cs="Arial" w:eastAsia="Arial" w:hAnsi="Arial"/>
                <w:sz w:val="16"/>
                <w:szCs w:val="16"/>
                <w:color w:val="3E474E"/>
              </w:rPr>
              <w:t>F. Blair Wimbush</w:t>
            </w:r>
          </w:p>
        </w:tc>
        <w:tc>
          <w:tcPr>
            <w:tcW w:w="2360" w:type="dxa"/>
            <w:vAlign w:val="bottom"/>
          </w:tcPr>
          <w:p>
            <w:pPr>
              <w:jc w:val="right"/>
              <w:ind w:right="1"/>
              <w:spacing w:after="0"/>
              <w:rPr>
                <w:sz w:val="20"/>
                <w:szCs w:val="20"/>
                <w:color w:val="auto"/>
              </w:rPr>
            </w:pPr>
            <w:r>
              <w:rPr>
                <w:rFonts w:ascii="Arial" w:cs="Arial" w:eastAsia="Arial" w:hAnsi="Arial"/>
                <w:sz w:val="16"/>
                <w:szCs w:val="16"/>
                <w:color w:val="3E474E"/>
              </w:rPr>
              <w:t>—</w:t>
            </w:r>
          </w:p>
        </w:tc>
        <w:tc>
          <w:tcPr>
            <w:tcW w:w="120" w:type="dxa"/>
            <w:vAlign w:val="bottom"/>
          </w:tcPr>
          <w:p>
            <w:pPr>
              <w:spacing w:after="0"/>
              <w:rPr>
                <w:sz w:val="18"/>
                <w:szCs w:val="18"/>
                <w:color w:val="auto"/>
              </w:rPr>
            </w:pPr>
          </w:p>
        </w:tc>
        <w:tc>
          <w:tcPr>
            <w:tcW w:w="2020" w:type="dxa"/>
            <w:vAlign w:val="bottom"/>
          </w:tcPr>
          <w:p>
            <w:pPr>
              <w:jc w:val="right"/>
              <w:ind w:right="61"/>
              <w:spacing w:after="0"/>
              <w:rPr>
                <w:sz w:val="20"/>
                <w:szCs w:val="20"/>
                <w:color w:val="auto"/>
              </w:rPr>
            </w:pPr>
            <w:r>
              <w:rPr>
                <w:rFonts w:ascii="Arial" w:cs="Arial" w:eastAsia="Arial" w:hAnsi="Arial"/>
                <w:sz w:val="16"/>
                <w:szCs w:val="16"/>
                <w:color w:val="3E474E"/>
              </w:rPr>
              <w:t>103,501</w:t>
            </w: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3E474E"/>
              </w:rPr>
              <w:t>103,501</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1860" w:type="dxa"/>
            <w:vAlign w:val="bottom"/>
            <w:shd w:val="clear" w:color="auto" w:fill="E3EAEE"/>
          </w:tcPr>
          <w:p>
            <w:pPr>
              <w:spacing w:after="0"/>
              <w:rPr>
                <w:sz w:val="15"/>
                <w:szCs w:val="15"/>
                <w:color w:val="auto"/>
              </w:rPr>
            </w:pPr>
          </w:p>
        </w:tc>
        <w:tc>
          <w:tcPr>
            <w:tcW w:w="2360" w:type="dxa"/>
            <w:vAlign w:val="bottom"/>
            <w:shd w:val="clear" w:color="auto" w:fill="E3EAEE"/>
          </w:tcPr>
          <w:p>
            <w:pPr>
              <w:jc w:val="right"/>
              <w:spacing w:after="0"/>
              <w:rPr>
                <w:sz w:val="20"/>
                <w:szCs w:val="20"/>
                <w:color w:val="auto"/>
              </w:rPr>
            </w:pPr>
            <w:r>
              <w:rPr>
                <w:rFonts w:ascii="Arial" w:cs="Arial" w:eastAsia="Arial" w:hAnsi="Arial"/>
                <w:sz w:val="14"/>
                <w:szCs w:val="14"/>
                <w:b w:val="1"/>
                <w:bCs w:val="1"/>
                <w:color w:val="1478A3"/>
              </w:rPr>
              <w:t>Number of Shares or Units of</w:t>
            </w:r>
          </w:p>
        </w:tc>
        <w:tc>
          <w:tcPr>
            <w:tcW w:w="120" w:type="dxa"/>
            <w:vAlign w:val="bottom"/>
            <w:shd w:val="clear" w:color="auto" w:fill="E3EAEE"/>
          </w:tcPr>
          <w:p>
            <w:pPr>
              <w:spacing w:after="0"/>
              <w:rPr>
                <w:sz w:val="15"/>
                <w:szCs w:val="15"/>
                <w:color w:val="auto"/>
              </w:rPr>
            </w:pPr>
          </w:p>
        </w:tc>
        <w:tc>
          <w:tcPr>
            <w:tcW w:w="2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40" w:type="dxa"/>
            <w:vAlign w:val="bottom"/>
          </w:tcPr>
          <w:p>
            <w:pPr>
              <w:spacing w:after="0"/>
              <w:rPr>
                <w:sz w:val="19"/>
                <w:szCs w:val="19"/>
                <w:color w:val="auto"/>
              </w:rPr>
            </w:pPr>
          </w:p>
        </w:tc>
        <w:tc>
          <w:tcPr>
            <w:tcW w:w="1860" w:type="dxa"/>
            <w:vAlign w:val="bottom"/>
            <w:tcBorders>
              <w:bottom w:val="single" w:sz="8" w:color="007AA7"/>
            </w:tcBorders>
            <w:shd w:val="clear" w:color="auto" w:fill="E3EAEE"/>
          </w:tcPr>
          <w:p>
            <w:pPr>
              <w:ind w:left="760"/>
              <w:spacing w:after="0"/>
              <w:rPr>
                <w:sz w:val="20"/>
                <w:szCs w:val="20"/>
                <w:color w:val="auto"/>
              </w:rPr>
            </w:pPr>
            <w:r>
              <w:rPr>
                <w:rFonts w:ascii="Arial" w:cs="Arial" w:eastAsia="Arial" w:hAnsi="Arial"/>
                <w:sz w:val="14"/>
                <w:szCs w:val="14"/>
                <w:b w:val="1"/>
                <w:bCs w:val="1"/>
                <w:color w:val="1478A3"/>
              </w:rPr>
              <w:t>Director</w:t>
            </w:r>
          </w:p>
        </w:tc>
        <w:tc>
          <w:tcPr>
            <w:tcW w:w="2360" w:type="dxa"/>
            <w:vAlign w:val="bottom"/>
            <w:tcBorders>
              <w:bottom w:val="single" w:sz="8" w:color="007AA7"/>
            </w:tcBorders>
            <w:shd w:val="clear" w:color="auto" w:fill="E3EAEE"/>
          </w:tcPr>
          <w:p>
            <w:pPr>
              <w:jc w:val="right"/>
              <w:spacing w:after="0"/>
              <w:rPr>
                <w:sz w:val="20"/>
                <w:szCs w:val="20"/>
                <w:color w:val="auto"/>
              </w:rPr>
            </w:pPr>
            <w:r>
              <w:rPr>
                <w:rFonts w:ascii="Arial" w:cs="Arial" w:eastAsia="Arial" w:hAnsi="Arial"/>
                <w:sz w:val="14"/>
                <w:szCs w:val="14"/>
                <w:b w:val="1"/>
                <w:bCs w:val="1"/>
                <w:color w:val="1478A3"/>
              </w:rPr>
              <w:t>Stock That Have Not Vested</w:t>
            </w:r>
          </w:p>
        </w:tc>
        <w:tc>
          <w:tcPr>
            <w:tcW w:w="120" w:type="dxa"/>
            <w:vAlign w:val="bottom"/>
            <w:tcBorders>
              <w:bottom w:val="single" w:sz="8" w:color="007AA7"/>
            </w:tcBorders>
            <w:shd w:val="clear" w:color="auto" w:fill="E3EAEE"/>
          </w:tcPr>
          <w:p>
            <w:pPr>
              <w:spacing w:after="0"/>
              <w:rPr>
                <w:sz w:val="19"/>
                <w:szCs w:val="19"/>
                <w:color w:val="auto"/>
              </w:rPr>
            </w:pPr>
          </w:p>
        </w:tc>
        <w:tc>
          <w:tcPr>
            <w:tcW w:w="2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3E474E"/>
              </w:rPr>
              <w:t>George F. Allen</w:t>
            </w:r>
          </w:p>
        </w:tc>
        <w:tc>
          <w:tcPr>
            <w:tcW w:w="2480" w:type="dxa"/>
            <w:vAlign w:val="bottom"/>
            <w:gridSpan w:val="2"/>
          </w:tcPr>
          <w:p>
            <w:pPr>
              <w:jc w:val="right"/>
              <w:ind w:right="39"/>
              <w:spacing w:after="0"/>
              <w:rPr>
                <w:sz w:val="20"/>
                <w:szCs w:val="20"/>
                <w:color w:val="auto"/>
              </w:rPr>
            </w:pPr>
            <w:r>
              <w:rPr>
                <w:rFonts w:ascii="Arial" w:cs="Arial" w:eastAsia="Arial" w:hAnsi="Arial"/>
                <w:sz w:val="16"/>
                <w:szCs w:val="16"/>
                <w:color w:val="3E474E"/>
              </w:rPr>
              <w:t>7,938</w:t>
            </w:r>
          </w:p>
        </w:tc>
        <w:tc>
          <w:tcPr>
            <w:tcW w:w="2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3E474E"/>
              </w:rPr>
              <w:t>Jennifer R. Boykin</w:t>
            </w:r>
          </w:p>
        </w:tc>
        <w:tc>
          <w:tcPr>
            <w:tcW w:w="2480" w:type="dxa"/>
            <w:vAlign w:val="bottom"/>
            <w:gridSpan w:val="2"/>
          </w:tcPr>
          <w:p>
            <w:pPr>
              <w:jc w:val="right"/>
              <w:ind w:right="39"/>
              <w:spacing w:after="0"/>
              <w:rPr>
                <w:sz w:val="20"/>
                <w:szCs w:val="20"/>
                <w:color w:val="auto"/>
              </w:rPr>
            </w:pPr>
            <w:r>
              <w:rPr>
                <w:rFonts w:ascii="Arial" w:cs="Arial" w:eastAsia="Arial" w:hAnsi="Arial"/>
                <w:sz w:val="16"/>
                <w:szCs w:val="16"/>
                <w:color w:val="3E474E"/>
              </w:rPr>
              <w:t>7,938</w:t>
            </w:r>
          </w:p>
        </w:tc>
        <w:tc>
          <w:tcPr>
            <w:tcW w:w="2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3E474E"/>
              </w:rPr>
              <w:t>James A. Carroll</w:t>
            </w:r>
          </w:p>
        </w:tc>
        <w:tc>
          <w:tcPr>
            <w:tcW w:w="2480" w:type="dxa"/>
            <w:vAlign w:val="bottom"/>
            <w:gridSpan w:val="2"/>
          </w:tcPr>
          <w:p>
            <w:pPr>
              <w:jc w:val="right"/>
              <w:ind w:right="39"/>
              <w:spacing w:after="0"/>
              <w:rPr>
                <w:sz w:val="20"/>
                <w:szCs w:val="20"/>
                <w:color w:val="auto"/>
              </w:rPr>
            </w:pPr>
            <w:r>
              <w:rPr>
                <w:rFonts w:ascii="Arial" w:cs="Arial" w:eastAsia="Arial" w:hAnsi="Arial"/>
                <w:sz w:val="16"/>
                <w:szCs w:val="16"/>
                <w:color w:val="3E474E"/>
              </w:rPr>
              <w:t>7,938</w:t>
            </w:r>
          </w:p>
        </w:tc>
        <w:tc>
          <w:tcPr>
            <w:tcW w:w="2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3E474E"/>
              </w:rPr>
              <w:t>James C. Cherry</w:t>
            </w:r>
          </w:p>
        </w:tc>
        <w:tc>
          <w:tcPr>
            <w:tcW w:w="2480" w:type="dxa"/>
            <w:vAlign w:val="bottom"/>
            <w:gridSpan w:val="2"/>
          </w:tcPr>
          <w:p>
            <w:pPr>
              <w:jc w:val="right"/>
              <w:ind w:right="39"/>
              <w:spacing w:after="0"/>
              <w:rPr>
                <w:sz w:val="20"/>
                <w:szCs w:val="20"/>
                <w:color w:val="auto"/>
              </w:rPr>
            </w:pPr>
            <w:r>
              <w:rPr>
                <w:rFonts w:ascii="Arial" w:cs="Arial" w:eastAsia="Arial" w:hAnsi="Arial"/>
                <w:sz w:val="16"/>
                <w:szCs w:val="16"/>
                <w:color w:val="3E474E"/>
              </w:rPr>
              <w:t>7,938</w:t>
            </w:r>
          </w:p>
        </w:tc>
        <w:tc>
          <w:tcPr>
            <w:tcW w:w="2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3E474E"/>
              </w:rPr>
              <w:t>Dennis H. Gartman</w:t>
            </w:r>
          </w:p>
        </w:tc>
        <w:tc>
          <w:tcPr>
            <w:tcW w:w="2480" w:type="dxa"/>
            <w:vAlign w:val="bottom"/>
            <w:gridSpan w:val="2"/>
          </w:tcPr>
          <w:p>
            <w:pPr>
              <w:jc w:val="right"/>
              <w:ind w:right="39"/>
              <w:spacing w:after="0"/>
              <w:rPr>
                <w:sz w:val="20"/>
                <w:szCs w:val="20"/>
                <w:color w:val="auto"/>
              </w:rPr>
            </w:pPr>
            <w:r>
              <w:rPr>
                <w:rFonts w:ascii="Arial" w:cs="Arial" w:eastAsia="Arial" w:hAnsi="Arial"/>
                <w:sz w:val="16"/>
                <w:szCs w:val="16"/>
                <w:color w:val="3E474E"/>
              </w:rPr>
              <w:t>7,938</w:t>
            </w:r>
          </w:p>
        </w:tc>
        <w:tc>
          <w:tcPr>
            <w:tcW w:w="2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3E474E"/>
              </w:rPr>
              <w:t>Louis S. Haddad</w:t>
            </w:r>
          </w:p>
        </w:tc>
        <w:tc>
          <w:tcPr>
            <w:tcW w:w="2480" w:type="dxa"/>
            <w:vAlign w:val="bottom"/>
            <w:gridSpan w:val="2"/>
          </w:tcPr>
          <w:p>
            <w:pPr>
              <w:jc w:val="right"/>
              <w:ind w:right="39"/>
              <w:spacing w:after="0"/>
              <w:rPr>
                <w:sz w:val="20"/>
                <w:szCs w:val="20"/>
                <w:color w:val="auto"/>
              </w:rPr>
            </w:pPr>
            <w:r>
              <w:rPr>
                <w:rFonts w:ascii="Arial" w:cs="Arial" w:eastAsia="Arial" w:hAnsi="Arial"/>
                <w:sz w:val="16"/>
                <w:szCs w:val="16"/>
                <w:color w:val="3E474E"/>
              </w:rPr>
              <w:t>7,938</w:t>
            </w:r>
          </w:p>
        </w:tc>
        <w:tc>
          <w:tcPr>
            <w:tcW w:w="2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40" w:type="dxa"/>
            <w:vAlign w:val="bottom"/>
          </w:tcPr>
          <w:p>
            <w:pPr>
              <w:spacing w:after="0"/>
              <w:rPr>
                <w:sz w:val="23"/>
                <w:szCs w:val="23"/>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3E474E"/>
              </w:rPr>
              <w:t xml:space="preserve">Eva S. Hardy </w:t>
            </w:r>
            <w:r>
              <w:rPr>
                <w:rFonts w:ascii="Arial" w:cs="Arial" w:eastAsia="Arial" w:hAnsi="Arial"/>
                <w:sz w:val="21"/>
                <w:szCs w:val="21"/>
                <w:color w:val="3E474E"/>
                <w:vertAlign w:val="superscript"/>
              </w:rPr>
              <w:t>(3)</w:t>
            </w:r>
          </w:p>
        </w:tc>
        <w:tc>
          <w:tcPr>
            <w:tcW w:w="2480" w:type="dxa"/>
            <w:vAlign w:val="bottom"/>
            <w:gridSpan w:val="2"/>
          </w:tcPr>
          <w:p>
            <w:pPr>
              <w:jc w:val="right"/>
              <w:ind w:right="39"/>
              <w:spacing w:after="0"/>
              <w:rPr>
                <w:sz w:val="20"/>
                <w:szCs w:val="20"/>
                <w:color w:val="auto"/>
              </w:rPr>
            </w:pPr>
            <w:r>
              <w:rPr>
                <w:rFonts w:ascii="Arial" w:cs="Arial" w:eastAsia="Arial" w:hAnsi="Arial"/>
                <w:sz w:val="16"/>
                <w:szCs w:val="16"/>
                <w:color w:val="3E474E"/>
              </w:rPr>
              <w:t>—</w:t>
            </w:r>
          </w:p>
        </w:tc>
        <w:tc>
          <w:tcPr>
            <w:tcW w:w="2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3E474E"/>
              </w:rPr>
              <w:t>Daniel A. Hoffler</w:t>
            </w:r>
          </w:p>
        </w:tc>
        <w:tc>
          <w:tcPr>
            <w:tcW w:w="2480" w:type="dxa"/>
            <w:vAlign w:val="bottom"/>
            <w:gridSpan w:val="2"/>
          </w:tcPr>
          <w:p>
            <w:pPr>
              <w:jc w:val="right"/>
              <w:ind w:right="39"/>
              <w:spacing w:after="0"/>
              <w:rPr>
                <w:sz w:val="20"/>
                <w:szCs w:val="20"/>
                <w:color w:val="auto"/>
              </w:rPr>
            </w:pPr>
            <w:r>
              <w:rPr>
                <w:rFonts w:ascii="Arial" w:cs="Arial" w:eastAsia="Arial" w:hAnsi="Arial"/>
                <w:sz w:val="16"/>
                <w:szCs w:val="16"/>
                <w:color w:val="3E474E"/>
              </w:rPr>
              <w:t>7,938</w:t>
            </w: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40" w:type="dxa"/>
            <w:vAlign w:val="bottom"/>
          </w:tcPr>
          <w:p>
            <w:pPr>
              <w:spacing w:after="0"/>
              <w:rPr>
                <w:sz w:val="23"/>
                <w:szCs w:val="23"/>
                <w:color w:val="auto"/>
              </w:rPr>
            </w:pPr>
          </w:p>
        </w:tc>
        <w:tc>
          <w:tcPr>
            <w:tcW w:w="1860" w:type="dxa"/>
            <w:vAlign w:val="bottom"/>
          </w:tcPr>
          <w:p>
            <w:pPr>
              <w:ind w:left="120"/>
              <w:spacing w:after="0"/>
              <w:rPr>
                <w:sz w:val="20"/>
                <w:szCs w:val="20"/>
                <w:color w:val="auto"/>
              </w:rPr>
            </w:pPr>
            <w:r>
              <w:rPr>
                <w:rFonts w:ascii="Arial" w:cs="Arial" w:eastAsia="Arial" w:hAnsi="Arial"/>
                <w:sz w:val="16"/>
                <w:szCs w:val="16"/>
                <w:color w:val="3E474E"/>
              </w:rPr>
              <w:t xml:space="preserve">A. Russell Kirk </w:t>
            </w:r>
            <w:r>
              <w:rPr>
                <w:rFonts w:ascii="Arial" w:cs="Arial" w:eastAsia="Arial" w:hAnsi="Arial"/>
                <w:sz w:val="21"/>
                <w:szCs w:val="21"/>
                <w:color w:val="3E474E"/>
                <w:vertAlign w:val="superscript"/>
              </w:rPr>
              <w:t>(4)</w:t>
            </w:r>
          </w:p>
        </w:tc>
        <w:tc>
          <w:tcPr>
            <w:tcW w:w="2480" w:type="dxa"/>
            <w:vAlign w:val="bottom"/>
            <w:gridSpan w:val="2"/>
          </w:tcPr>
          <w:p>
            <w:pPr>
              <w:jc w:val="right"/>
              <w:ind w:right="39"/>
              <w:spacing w:after="0"/>
              <w:rPr>
                <w:sz w:val="20"/>
                <w:szCs w:val="20"/>
                <w:color w:val="auto"/>
              </w:rPr>
            </w:pPr>
            <w:r>
              <w:rPr>
                <w:rFonts w:ascii="Arial" w:cs="Arial" w:eastAsia="Arial" w:hAnsi="Arial"/>
                <w:sz w:val="16"/>
                <w:szCs w:val="16"/>
                <w:color w:val="3E474E"/>
              </w:rPr>
              <w:t>—</w:t>
            </w:r>
          </w:p>
        </w:tc>
        <w:tc>
          <w:tcPr>
            <w:tcW w:w="2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00" w:type="dxa"/>
            <w:vAlign w:val="bottom"/>
            <w:gridSpan w:val="2"/>
          </w:tcPr>
          <w:p>
            <w:pPr>
              <w:spacing w:after="0"/>
              <w:rPr>
                <w:sz w:val="20"/>
                <w:szCs w:val="20"/>
                <w:color w:val="auto"/>
              </w:rPr>
            </w:pPr>
            <w:r>
              <w:rPr>
                <w:rFonts w:ascii="Arial" w:cs="Arial" w:eastAsia="Arial" w:hAnsi="Arial"/>
                <w:sz w:val="16"/>
                <w:szCs w:val="16"/>
                <w:color w:val="3E474E"/>
                <w:vertAlign w:val="subscript"/>
              </w:rPr>
              <w:t>(1)</w:t>
            </w:r>
            <w:r>
              <w:rPr>
                <w:rFonts w:ascii="Arial" w:cs="Arial" w:eastAsia="Arial" w:hAnsi="Arial"/>
                <w:sz w:val="16"/>
                <w:szCs w:val="16"/>
                <w:color w:val="3E474E"/>
              </w:rPr>
              <w:t xml:space="preserve">    F. Blair Wimbush</w:t>
            </w:r>
          </w:p>
        </w:tc>
        <w:tc>
          <w:tcPr>
            <w:tcW w:w="2480" w:type="dxa"/>
            <w:vAlign w:val="bottom"/>
            <w:gridSpan w:val="2"/>
          </w:tcPr>
          <w:p>
            <w:pPr>
              <w:jc w:val="right"/>
              <w:ind w:right="39"/>
              <w:spacing w:after="0"/>
              <w:rPr>
                <w:sz w:val="20"/>
                <w:szCs w:val="20"/>
                <w:color w:val="auto"/>
              </w:rPr>
            </w:pPr>
            <w:r>
              <w:rPr>
                <w:rFonts w:ascii="Arial" w:cs="Arial" w:eastAsia="Arial" w:hAnsi="Arial"/>
                <w:sz w:val="16"/>
                <w:szCs w:val="16"/>
                <w:color w:val="3E474E"/>
              </w:rPr>
              <w:t>7,938</w:t>
            </w:r>
          </w:p>
        </w:tc>
        <w:tc>
          <w:tcPr>
            <w:tcW w:w="2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180" w:right="100" w:hanging="172"/>
        <w:spacing w:after="0" w:line="226" w:lineRule="auto"/>
        <w:tabs>
          <w:tab w:leader="none" w:pos="140" w:val="left"/>
        </w:tabs>
        <w:numPr>
          <w:ilvl w:val="0"/>
          <w:numId w:val="69"/>
        </w:numPr>
        <w:rPr>
          <w:rFonts w:ascii="Arial" w:cs="Arial" w:eastAsia="Arial" w:hAnsi="Arial"/>
          <w:sz w:val="16"/>
          <w:szCs w:val="16"/>
          <w:color w:val="3E474E"/>
          <w:vertAlign w:val="superscript"/>
        </w:rPr>
      </w:pPr>
      <w:r>
        <w:rPr>
          <w:rFonts w:ascii="Arial" w:cs="Arial" w:eastAsia="Arial" w:hAnsi="Arial"/>
          <w:sz w:val="13"/>
          <w:szCs w:val="13"/>
          <w:color w:val="3E474E"/>
        </w:rPr>
        <w:t>Represents the aggregate grant date fair value of restricted shares granted on June 23, 2025. The following table presents information about our directors’ outstanding equity awards as of December 31, 2025. The equity awards consist of time-vesting restricted shares of common stock and Time-Based LTIP units. Our directors do not hold stock options.</w:t>
      </w:r>
    </w:p>
    <w:p>
      <w:pPr>
        <w:spacing w:after="0" w:line="32" w:lineRule="exact"/>
        <w:rPr>
          <w:rFonts w:ascii="Arial" w:cs="Arial" w:eastAsia="Arial" w:hAnsi="Arial"/>
          <w:sz w:val="16"/>
          <w:szCs w:val="16"/>
          <w:color w:val="3E474E"/>
          <w:vertAlign w:val="superscript"/>
        </w:rPr>
      </w:pPr>
    </w:p>
    <w:p>
      <w:pPr>
        <w:ind w:left="140" w:hanging="132"/>
        <w:spacing w:after="0"/>
        <w:tabs>
          <w:tab w:leader="none" w:pos="140" w:val="left"/>
        </w:tabs>
        <w:numPr>
          <w:ilvl w:val="0"/>
          <w:numId w:val="69"/>
        </w:numPr>
        <w:rPr>
          <w:rFonts w:ascii="Arial" w:cs="Arial" w:eastAsia="Arial" w:hAnsi="Arial"/>
          <w:sz w:val="16"/>
          <w:szCs w:val="16"/>
          <w:color w:val="3E474E"/>
          <w:vertAlign w:val="superscript"/>
        </w:rPr>
      </w:pPr>
      <w:r>
        <w:rPr>
          <w:rFonts w:ascii="Arial" w:cs="Arial" w:eastAsia="Arial" w:hAnsi="Arial"/>
          <w:sz w:val="13"/>
          <w:szCs w:val="13"/>
          <w:color w:val="3E474E"/>
        </w:rPr>
        <w:t>Represents Mr. Haddad's cash retainer as Executive Chairman and Annual Cash Retainer as a Director. See Executive Chairman Compensation section below for more detail.</w:t>
      </w:r>
    </w:p>
    <w:p>
      <w:pPr>
        <w:spacing w:after="0" w:line="43" w:lineRule="exact"/>
        <w:rPr>
          <w:rFonts w:ascii="Arial" w:cs="Arial" w:eastAsia="Arial" w:hAnsi="Arial"/>
          <w:sz w:val="16"/>
          <w:szCs w:val="16"/>
          <w:color w:val="3E474E"/>
          <w:vertAlign w:val="superscript"/>
        </w:rPr>
      </w:pPr>
    </w:p>
    <w:p>
      <w:pPr>
        <w:jc w:val="both"/>
        <w:ind w:left="180" w:right="60" w:hanging="172"/>
        <w:spacing w:after="0" w:line="226" w:lineRule="auto"/>
        <w:tabs>
          <w:tab w:leader="none" w:pos="140" w:val="left"/>
        </w:tabs>
        <w:numPr>
          <w:ilvl w:val="0"/>
          <w:numId w:val="69"/>
        </w:numPr>
        <w:rPr>
          <w:rFonts w:ascii="Arial" w:cs="Arial" w:eastAsia="Arial" w:hAnsi="Arial"/>
          <w:sz w:val="16"/>
          <w:szCs w:val="16"/>
          <w:color w:val="3E474E"/>
          <w:vertAlign w:val="superscript"/>
        </w:rPr>
      </w:pPr>
      <w:r>
        <w:rPr>
          <w:rFonts w:ascii="Arial" w:cs="Arial" w:eastAsia="Arial" w:hAnsi="Arial"/>
          <w:sz w:val="13"/>
          <w:szCs w:val="13"/>
          <w:color w:val="3E474E"/>
        </w:rPr>
        <w:t>Represents (i) the aggregate grant date fair value of the restricted shares granted on March 21, 2025 as a catch up Equity Awards for Mr. Haddad's role as a Director, (ii) the aggregate grant date fair value of the restricted shares granted on June 23, 2025 for Mr. Haddad's role as a Director, and (iii) the grant date fair market value of the restricted shares granted on March 3, 2025 as equity bonus for Mr. Haddad's role as the Chief Executive Officer of the Company for 2024.</w:t>
      </w:r>
    </w:p>
    <w:p>
      <w:pPr>
        <w:spacing w:after="0" w:line="20" w:lineRule="exact"/>
        <w:rPr>
          <w:rFonts w:ascii="Arial" w:cs="Arial" w:eastAsia="Arial" w:hAnsi="Arial"/>
          <w:sz w:val="16"/>
          <w:szCs w:val="16"/>
          <w:color w:val="3E474E"/>
          <w:vertAlign w:val="superscript"/>
        </w:rPr>
      </w:pPr>
    </w:p>
    <w:p>
      <w:pPr>
        <w:ind w:left="140" w:hanging="132"/>
        <w:spacing w:after="0"/>
        <w:tabs>
          <w:tab w:leader="none" w:pos="140" w:val="left"/>
        </w:tabs>
        <w:numPr>
          <w:ilvl w:val="0"/>
          <w:numId w:val="69"/>
        </w:numPr>
        <w:rPr>
          <w:rFonts w:ascii="Arial" w:cs="Arial" w:eastAsia="Arial" w:hAnsi="Arial"/>
          <w:sz w:val="16"/>
          <w:szCs w:val="16"/>
          <w:color w:val="3E474E"/>
          <w:vertAlign w:val="superscript"/>
        </w:rPr>
      </w:pPr>
      <w:r>
        <w:rPr>
          <w:rFonts w:ascii="Arial" w:cs="Arial" w:eastAsia="Arial" w:hAnsi="Arial"/>
          <w:sz w:val="13"/>
          <w:szCs w:val="13"/>
          <w:color w:val="3E474E"/>
        </w:rPr>
        <w:t>Represents annual allowance in the amount of $48,394.25, 401k and life insurance contribution in the amount of $9,624.56.</w:t>
      </w:r>
    </w:p>
    <w:p>
      <w:pPr>
        <w:spacing w:after="0" w:line="56" w:lineRule="exact"/>
        <w:rPr>
          <w:rFonts w:ascii="Arial" w:cs="Arial" w:eastAsia="Arial" w:hAnsi="Arial"/>
          <w:sz w:val="16"/>
          <w:szCs w:val="16"/>
          <w:color w:val="3E474E"/>
          <w:vertAlign w:val="superscript"/>
        </w:rPr>
      </w:pPr>
    </w:p>
    <w:p>
      <w:pPr>
        <w:ind w:left="140" w:hanging="132"/>
        <w:spacing w:after="0" w:line="207" w:lineRule="auto"/>
        <w:tabs>
          <w:tab w:leader="none" w:pos="140" w:val="left"/>
        </w:tabs>
        <w:numPr>
          <w:ilvl w:val="0"/>
          <w:numId w:val="69"/>
        </w:numPr>
        <w:rPr>
          <w:rFonts w:ascii="Arial" w:cs="Arial" w:eastAsia="Arial" w:hAnsi="Arial"/>
          <w:sz w:val="16"/>
          <w:szCs w:val="16"/>
          <w:color w:val="3E474E"/>
          <w:vertAlign w:val="superscript"/>
        </w:rPr>
      </w:pPr>
      <w:r>
        <w:rPr>
          <w:rFonts w:ascii="Arial" w:cs="Arial" w:eastAsia="Arial" w:hAnsi="Arial"/>
          <w:sz w:val="13"/>
          <w:szCs w:val="13"/>
          <w:color w:val="3E474E"/>
        </w:rPr>
        <w:t>Ms. Hardy retired from the Board and did not stand for re-election at the 2025 Annual Meeting of the Stockholders.</w:t>
      </w:r>
    </w:p>
    <w:p>
      <w:pPr>
        <w:spacing w:after="0" w:line="43" w:lineRule="exact"/>
        <w:rPr>
          <w:rFonts w:ascii="Arial" w:cs="Arial" w:eastAsia="Arial" w:hAnsi="Arial"/>
          <w:sz w:val="16"/>
          <w:szCs w:val="16"/>
          <w:color w:val="3E474E"/>
          <w:vertAlign w:val="superscript"/>
        </w:rPr>
      </w:pPr>
    </w:p>
    <w:p>
      <w:pPr>
        <w:ind w:left="140" w:hanging="132"/>
        <w:spacing w:after="0" w:line="207" w:lineRule="auto"/>
        <w:tabs>
          <w:tab w:leader="none" w:pos="140" w:val="left"/>
        </w:tabs>
        <w:numPr>
          <w:ilvl w:val="0"/>
          <w:numId w:val="69"/>
        </w:numPr>
        <w:rPr>
          <w:rFonts w:ascii="Arial" w:cs="Arial" w:eastAsia="Arial" w:hAnsi="Arial"/>
          <w:sz w:val="16"/>
          <w:szCs w:val="16"/>
          <w:color w:val="3E474E"/>
          <w:vertAlign w:val="superscript"/>
        </w:rPr>
      </w:pPr>
      <w:r>
        <w:rPr>
          <w:rFonts w:ascii="Arial" w:cs="Arial" w:eastAsia="Arial" w:hAnsi="Arial"/>
          <w:sz w:val="13"/>
          <w:szCs w:val="13"/>
          <w:color w:val="3E474E"/>
        </w:rPr>
        <w:t>Mr. Kirk retired from the Board and did not stand for re-election at the 2025 Annual Meeting of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32</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747C83"/>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3E474E"/>
        </w:rPr>
        <w:t>From January 2025 to September 2025, Mr. Hoffler was provided office space at AH Realty's office, at no incremental cost to the Company.</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1478A3"/>
        </w:rPr>
        <w:t>Executive Chairman Compensation</w:t>
      </w:r>
    </w:p>
    <w:p>
      <w:pPr>
        <w:spacing w:after="0" w:line="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E474E"/>
        </w:rPr>
        <w:t>As part of our six-year long succession plan, Mr. Haddad resigned as Chief Executive Officer effective December 31, 2024 and retained the role of Executive Chairman of the Board for the fiscal year ending December 31, 2025.</w:t>
      </w:r>
    </w:p>
    <w:p>
      <w:pPr>
        <w:spacing w:after="0" w:line="23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3E474E"/>
        </w:rPr>
        <w:t>Mr. Haddad served as Executive Chairman from January 1, 2025 through December 31, 2025. Mr. Haddad served as our Chief Executive Officer since our IPO, and, therefore, Mr. Haddad continues to offer extensive operational experience and knowledge to the Board and the Company. Mr. Haddad’s contributions to the Company include the following:</w:t>
      </w:r>
    </w:p>
    <w:p>
      <w:pPr>
        <w:spacing w:after="0" w:line="20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3E474E"/>
        </w:rPr>
        <w:t>In light of transitional support Mr. Haddad is providing to Mr. Tibbetts, who was appointed as Chief Executive Officer, effective January 1, 2025, and Mr. Haddad’s continued support to management, for the fiscal year ended December 31, 2025, the Compensation Committee determined to provide Mr. Haddad an annual retainer of $250,000 and up to $50,000 allowance to cover healthcare coverage under our healthcare plan, health concierge service, tax return preparation fee, administrative support and vehicle allowance, in addition to all other equity compensation and reimbursement to which non-employee directors are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33</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747C83"/>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Report of the Audit Committee</w:t>
      </w:r>
    </w:p>
    <w:p>
      <w:pPr>
        <w:spacing w:after="0" w:line="277"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3E474E"/>
        </w:rPr>
        <w:t>The Audit Committee is currently composed of Messrs. Carroll, Cherry, Gartman, and Wimbush, with Mr. Carroll serving as its chairperson. The members of the Audit Committee are appointed by and serve at the discretion of the Board of Directors.</w:t>
      </w:r>
    </w:p>
    <w:p>
      <w:pPr>
        <w:spacing w:after="0" w:line="16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3E474E"/>
        </w:rPr>
        <w:t>One of the principal purposes of the Audit Committee is to assist the Board of Directors in the oversight of the integrity of the Company’s financial statements. The Company’s management team has the primary responsibility for the financial statements and the reporting process, including the system of internal controls and disclosure controls and procedures. In fulfilling its oversight responsibilities, the Audit Committee reviewed the audited financial statements in the Annual Report on Form 10-K for the year ended December 31, 2025, with our management.</w:t>
      </w:r>
    </w:p>
    <w:p>
      <w:pPr>
        <w:spacing w:after="0" w:line="21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3E474E"/>
        </w:rPr>
        <w:t>The Audit Committee also is responsible for assisting the Board of Directors in the oversight of the qualification, independence, and performance of the Company’s independent auditors. The Audit Committee reviewed with the independent auditors,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and the applicable requirements of the Public Company Accounting Oversight Board (“PCAOB”) and the SEC.</w:t>
      </w:r>
    </w:p>
    <w:p>
      <w:pPr>
        <w:spacing w:after="0" w:line="21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3E474E"/>
        </w:rPr>
        <w:t>The Audit Committee has received both the written disclosures and the letter from Ernst &amp; Young LLP required by applicable guidance from the PCAOB regarding the independent accountant’s communications with the Audit Committee concerning independence, and has discussed with Ernst &amp; Young LLP its independence. In addition, the Audit Committee has considered whether the provision of non-audit services, and the fees charged for such non-audit services, by Ernst &amp; Young LLP are compatible with maintaining the independence of Ernst &amp; Young LLP from management and the Company.</w:t>
      </w:r>
    </w:p>
    <w:p>
      <w:pPr>
        <w:spacing w:after="0" w:line="20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3E474E"/>
        </w:rPr>
        <w:t>Based on the reviews and discussions referred to above, the Audit Committee recommended to the Board of Directors that the Company’s audited financial statements for 2025 be included in its Annual Report on Form 10-K for the fiscal year ended December 31, 2025, for filing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Respectfully submitted,</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The Audit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James A. Carroll (Chairperson)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James C. Cherry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Dennis H. Gartman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F. Blair Wimbush</w:t>
      </w:r>
    </w:p>
    <w:p>
      <w:pPr>
        <w:spacing w:after="0" w:line="234"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color w:val="57AED5"/>
        </w:rPr>
        <w:t>The Audit Committee Report above does not constitute “soliciting material” and will not be deemed “filed” or incorporated by reference into any of our filings under the Securities Act of 1933, as amended, or the Securities Exchange Act of 1934, as amended, that might incorporate SEC filings by reference, in whole or in part, notwithstanding anything to the contrary set forth in those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34</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747C83"/>
        </w:rPr>
        <w:t>Proposal 2: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right="1320"/>
        <w:spacing w:after="0" w:line="297" w:lineRule="auto"/>
        <w:rPr>
          <w:sz w:val="20"/>
          <w:szCs w:val="20"/>
          <w:color w:val="auto"/>
        </w:rPr>
      </w:pPr>
      <w:r>
        <w:rPr>
          <w:rFonts w:ascii="Arial" w:cs="Arial" w:eastAsia="Arial" w:hAnsi="Arial"/>
          <w:sz w:val="43"/>
          <w:szCs w:val="43"/>
          <w:b w:val="1"/>
          <w:bCs w:val="1"/>
          <w:color w:val="1478A3"/>
        </w:rPr>
        <w:t>Proposal 2: Ratification of Appointment of Independent Registered Public Accounting Firm</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3E474E"/>
        </w:rPr>
        <w:t>The Audit Committee of our Board, which is composed entirely of independent directors, has appointed KPMG LLP ("KPMG") as our independent registered public accounting firm for the fiscal year ending December 31, 2026. After careful consideration of the matter and in recognition of the importance of this matter to our stockholders, the Board has determined that it is in the best interests of the Company and our stockholders to seek the ratification by our stockholders of the Audit Committee’s selection of our independent registered public accounting firm. A representative of KPMG will be present at the Annual Meeting, will have the opportunity to make a statement if they so desire, and will be available to respond to appropriate questions.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1478A3"/>
        </w:rPr>
        <w:t>Change In Independent Registered Public Accounting Firm</w:t>
      </w:r>
    </w:p>
    <w:p>
      <w:pPr>
        <w:spacing w:after="0" w:line="5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3E474E"/>
        </w:rPr>
        <w:t>As previously disclosed by the Company in a Current Report on Form 8-K filed on June 24, 2025 (the “Form 8-K”), on, and effective as of February 26, 2026, the Audit Committee notified Ernst &amp; Young LLP ("Ernst &amp; Young") of its dismissal as the Company’s independent registered public accounting firm. We had worked with EY since our IPO. The Audit Committee determined it was an appropriate time to conduct an RFP process as part of good governance and best practices. We received strong interest, with 8 firms participating in the process, including all of the Big Four. Following a thorough evaluation, KPMG was selected for the 2026 fiscal year.</w:t>
      </w: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3E474E"/>
        </w:rPr>
        <w:t>Ernst &amp; Young's audit reports on the Company’s consolidated financial statements for each of the fiscal years ended December 31, 2025 and December 31, 2024 did not contain an adverse opinion or a disclaimer of opinion, nor were they qualified or modified as to uncertainty, audit scope, or accounting principles. Furthermore, during each of the fiscal years ended December 31, 2025 and December 31, 2024 and through the date of dismissal: (i) there were no “disagreements,” as that term is defined in Item 304(a)(1)(iv) of Regulation S-K (“Regulation S-K”), between the Company and Ernst &amp; Young on any matter of accounting principles or practices, financial statement disclosure or auditing scope or procedure, which disagreements, if not resolved to the satisfaction of Ernst &amp; Young, would have caused Ernst &amp; Young to make reference thereto in their reports; and (ii) no “reportable events” within the meaning of Item 304(a)(1)(v) of Regulation S-K. Additionally, each of Ernst &amp; Young's reports on the Company’s internal control over financial reporting as of December 31, 2025 and December 31, 2024 contained an unqualified opinion.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3E474E"/>
        </w:rPr>
        <w:t>The Committee has authorized Ernst &amp; Young to respond fully to the inquiries of KPMG concerning the foregoing reportable events and related matters.</w:t>
      </w:r>
    </w:p>
    <w:p>
      <w:pPr>
        <w:spacing w:after="0" w:line="248"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3E474E"/>
        </w:rPr>
        <w:t>The Company provided Ernst &amp; Young with a copy of the disclosures in the Form 8-K, and requested that Ernst &amp; Young provide the Company with a letter addressed to the SEC stating whether Ernst &amp; Young agrees to the statements made by the Company therein. A copy of the letter from Ernst &amp; Young addressed to the SEC and dates as of June 24, 2025, was filed as Exhibit 16.1 to the Form 8-K.</w:t>
      </w:r>
    </w:p>
    <w:p>
      <w:pPr>
        <w:spacing w:after="0" w:line="19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3E474E"/>
        </w:rPr>
        <w:t>On June 18, 2025, the Audit Committee of the Board of Directors approved the appointment of KPMG LLP as the Company’s independent registered public accounting firm for the fiscal year ending December 31, 2026.</w:t>
      </w:r>
    </w:p>
    <w:p>
      <w:pPr>
        <w:spacing w:after="0" w:line="16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3E474E"/>
        </w:rPr>
        <w:t>During the fiscal years ended December 31, 2025 and 2024, neither the Company nor anyone on its behalf has consulted with KPMG LLP regarding: (i) the application of accounting principles to a specific transaction, either completed or proposed, or the type of audit opinion that might be rendered on the Company’s financial statements, and neither a written report nor oral advice was provided to the Company that KPMG LLP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3A94BA"/>
        </w:rPr>
        <w:t>Vote Required and Recommendation</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3E474E"/>
        </w:rPr>
        <w:t>The affirmative vote of the holders of a majority of all the votes cast at the Annual Meeting with respect to the matter is necessary for the approval of the ratification of the appointment of KPMG LLP as our independent registered public accounting firm for the fiscal year ending December 31, 2026. For purposes of the vote on this proposal, abstentions will not be counted as votes cast and will have no effect on the result of the vote. Even if the appointment of KPMG LLP as our independent registered public accounting firm is ratified, the Audit Committee may, in its discretion, change that appointment at any time during the year should it determine such a change would be in our and our stockholders’ best interests. In the event that the appointment of KPMG LLP is not ratified, the Audit Committee will consider the appointment of another independent registered public accounting firm, but will not be required to appoint a different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678180</wp:posOffset>
            </wp:positionV>
            <wp:extent cx="825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678180</wp:posOffset>
            </wp:positionV>
            <wp:extent cx="825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35</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747C83"/>
        </w:rPr>
        <w:t>Proposal 2: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0"/>
        <w:spacing w:after="0" w:line="328" w:lineRule="auto"/>
        <w:rPr>
          <w:sz w:val="20"/>
          <w:szCs w:val="20"/>
          <w:color w:val="auto"/>
        </w:rPr>
      </w:pPr>
      <w:r>
        <w:rPr>
          <w:rFonts w:ascii="Arial" w:cs="Arial" w:eastAsia="Arial" w:hAnsi="Arial"/>
          <w:sz w:val="17"/>
          <w:szCs w:val="17"/>
          <w:b w:val="1"/>
          <w:bCs w:val="1"/>
          <w:color w:val="57AED5"/>
        </w:rPr>
        <w:t>OUR BOARD OF DIRECTORS RECOMMENDS A VOTE "FOR" THE RATIFICATION OF THE SELECTION OF KPMG LLP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1478A3"/>
        </w:rPr>
        <w:t>Relationship with Independent Registered Public Accounting Firm</w:t>
      </w:r>
    </w:p>
    <w:p>
      <w:pPr>
        <w:spacing w:after="0" w:line="56"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3E474E"/>
        </w:rPr>
        <w:t>Our consolidated financial statements for the years ended December 31, 2025 and 2024 have been audited by Ernst &amp; Young LLP, which served as our independent registered public accounting firm for these years.</w:t>
      </w:r>
    </w:p>
    <w:p>
      <w:pPr>
        <w:spacing w:after="0" w:line="1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3E474E"/>
        </w:rPr>
        <w:t>The following summarizes the fees billed by Ernst &amp; Young LLP and KPMG for services performed for the Company for the years ended December 31, 2025 and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shd w:val="clear" w:color="auto" w:fill="E3EAEE"/>
          </w:tcPr>
          <w:p>
            <w:pPr>
              <w:spacing w:after="0"/>
              <w:rPr>
                <w:sz w:val="18"/>
                <w:szCs w:val="18"/>
                <w:color w:val="auto"/>
              </w:rPr>
            </w:pPr>
          </w:p>
        </w:tc>
        <w:tc>
          <w:tcPr>
            <w:tcW w:w="2060" w:type="dxa"/>
            <w:vAlign w:val="bottom"/>
            <w:shd w:val="clear" w:color="auto" w:fill="E3EAEE"/>
          </w:tcPr>
          <w:p>
            <w:pPr>
              <w:jc w:val="right"/>
              <w:ind w:right="159"/>
              <w:spacing w:after="0"/>
              <w:rPr>
                <w:sz w:val="20"/>
                <w:szCs w:val="20"/>
                <w:color w:val="auto"/>
              </w:rPr>
            </w:pPr>
            <w:r>
              <w:rPr>
                <w:rFonts w:ascii="Arial" w:cs="Arial" w:eastAsia="Arial" w:hAnsi="Arial"/>
                <w:sz w:val="16"/>
                <w:szCs w:val="16"/>
                <w:b w:val="1"/>
                <w:bCs w:val="1"/>
                <w:color w:val="1478A3"/>
              </w:rPr>
              <w:t>Year Ended</w:t>
            </w:r>
          </w:p>
        </w:tc>
        <w:tc>
          <w:tcPr>
            <w:tcW w:w="190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Year Ended</w:t>
            </w:r>
          </w:p>
        </w:tc>
      </w:tr>
      <w:tr>
        <w:trPr>
          <w:trHeight w:val="223"/>
        </w:trPr>
        <w:tc>
          <w:tcPr>
            <w:tcW w:w="7280" w:type="dxa"/>
            <w:vAlign w:val="bottom"/>
            <w:shd w:val="clear" w:color="auto" w:fill="E3EAEE"/>
          </w:tcPr>
          <w:p>
            <w:pPr>
              <w:spacing w:after="0"/>
              <w:rPr>
                <w:sz w:val="19"/>
                <w:szCs w:val="19"/>
                <w:color w:val="auto"/>
              </w:rPr>
            </w:pPr>
          </w:p>
        </w:tc>
        <w:tc>
          <w:tcPr>
            <w:tcW w:w="2060" w:type="dxa"/>
            <w:vAlign w:val="bottom"/>
            <w:shd w:val="clear" w:color="auto" w:fill="E3EAEE"/>
          </w:tcPr>
          <w:p>
            <w:pPr>
              <w:jc w:val="right"/>
              <w:ind w:right="119"/>
              <w:spacing w:after="0"/>
              <w:rPr>
                <w:sz w:val="20"/>
                <w:szCs w:val="20"/>
                <w:color w:val="auto"/>
              </w:rPr>
            </w:pPr>
            <w:r>
              <w:rPr>
                <w:rFonts w:ascii="Arial" w:cs="Arial" w:eastAsia="Arial" w:hAnsi="Arial"/>
                <w:sz w:val="16"/>
                <w:szCs w:val="16"/>
                <w:b w:val="1"/>
                <w:bCs w:val="1"/>
                <w:color w:val="1478A3"/>
              </w:rPr>
              <w:t>December 31, 2025 ($)</w:t>
            </w:r>
          </w:p>
        </w:tc>
        <w:tc>
          <w:tcPr>
            <w:tcW w:w="190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December 31, 2024 ($)</w:t>
            </w:r>
          </w:p>
        </w:tc>
      </w:tr>
      <w:tr>
        <w:trPr>
          <w:trHeight w:val="62"/>
        </w:trPr>
        <w:tc>
          <w:tcPr>
            <w:tcW w:w="7280" w:type="dxa"/>
            <w:vAlign w:val="bottom"/>
            <w:tcBorders>
              <w:bottom w:val="single" w:sz="8" w:color="007AA7"/>
            </w:tcBorders>
            <w:shd w:val="clear" w:color="auto" w:fill="E3EAEE"/>
          </w:tcPr>
          <w:p>
            <w:pPr>
              <w:spacing w:after="0"/>
              <w:rPr>
                <w:sz w:val="5"/>
                <w:szCs w:val="5"/>
                <w:color w:val="auto"/>
              </w:rPr>
            </w:pPr>
          </w:p>
        </w:tc>
        <w:tc>
          <w:tcPr>
            <w:tcW w:w="2060" w:type="dxa"/>
            <w:vAlign w:val="bottom"/>
            <w:tcBorders>
              <w:bottom w:val="single" w:sz="8" w:color="007AA7"/>
            </w:tcBorders>
            <w:shd w:val="clear" w:color="auto" w:fill="E3EAEE"/>
          </w:tcPr>
          <w:p>
            <w:pPr>
              <w:spacing w:after="0"/>
              <w:rPr>
                <w:sz w:val="5"/>
                <w:szCs w:val="5"/>
                <w:color w:val="auto"/>
              </w:rPr>
            </w:pPr>
          </w:p>
        </w:tc>
        <w:tc>
          <w:tcPr>
            <w:tcW w:w="1900" w:type="dxa"/>
            <w:vAlign w:val="bottom"/>
            <w:tcBorders>
              <w:bottom w:val="single" w:sz="8" w:color="007AA7"/>
            </w:tcBorders>
            <w:shd w:val="clear" w:color="auto" w:fill="E3EAEE"/>
          </w:tcPr>
          <w:p>
            <w:pPr>
              <w:spacing w:after="0"/>
              <w:rPr>
                <w:sz w:val="5"/>
                <w:szCs w:val="5"/>
                <w:color w:val="auto"/>
              </w:rPr>
            </w:pPr>
          </w:p>
        </w:tc>
      </w:tr>
      <w:tr>
        <w:trPr>
          <w:trHeight w:val="236"/>
        </w:trPr>
        <w:tc>
          <w:tcPr>
            <w:tcW w:w="7280" w:type="dxa"/>
            <w:vAlign w:val="bottom"/>
          </w:tcPr>
          <w:p>
            <w:pPr>
              <w:ind w:left="140"/>
              <w:spacing w:after="0" w:line="237" w:lineRule="exact"/>
              <w:rPr>
                <w:sz w:val="20"/>
                <w:szCs w:val="20"/>
                <w:color w:val="auto"/>
              </w:rPr>
            </w:pPr>
            <w:r>
              <w:rPr>
                <w:rFonts w:ascii="Arial" w:cs="Arial" w:eastAsia="Arial" w:hAnsi="Arial"/>
                <w:sz w:val="16"/>
                <w:szCs w:val="16"/>
                <w:color w:val="3E474E"/>
              </w:rPr>
              <w:t>Audit Fees</w:t>
            </w:r>
            <w:r>
              <w:rPr>
                <w:rFonts w:ascii="Arial" w:cs="Arial" w:eastAsia="Arial" w:hAnsi="Arial"/>
                <w:sz w:val="21"/>
                <w:szCs w:val="21"/>
                <w:color w:val="3E474E"/>
                <w:vertAlign w:val="superscript"/>
              </w:rPr>
              <w:t>(1)</w:t>
            </w:r>
          </w:p>
        </w:tc>
        <w:tc>
          <w:tcPr>
            <w:tcW w:w="2060" w:type="dxa"/>
            <w:vAlign w:val="bottom"/>
          </w:tcPr>
          <w:p>
            <w:pPr>
              <w:jc w:val="right"/>
              <w:ind w:right="179"/>
              <w:spacing w:after="0"/>
              <w:rPr>
                <w:sz w:val="20"/>
                <w:szCs w:val="20"/>
                <w:color w:val="auto"/>
              </w:rPr>
            </w:pPr>
            <w:r>
              <w:rPr>
                <w:rFonts w:ascii="Arial" w:cs="Arial" w:eastAsia="Arial" w:hAnsi="Arial"/>
                <w:sz w:val="16"/>
                <w:szCs w:val="16"/>
                <w:color w:val="3E474E"/>
              </w:rPr>
              <w:t>1,062,485</w:t>
            </w:r>
          </w:p>
        </w:tc>
        <w:tc>
          <w:tcPr>
            <w:tcW w:w="1900" w:type="dxa"/>
            <w:vAlign w:val="bottom"/>
          </w:tcPr>
          <w:p>
            <w:pPr>
              <w:jc w:val="right"/>
              <w:spacing w:after="0"/>
              <w:rPr>
                <w:sz w:val="20"/>
                <w:szCs w:val="20"/>
                <w:color w:val="auto"/>
              </w:rPr>
            </w:pPr>
            <w:r>
              <w:rPr>
                <w:rFonts w:ascii="Arial" w:cs="Arial" w:eastAsia="Arial" w:hAnsi="Arial"/>
                <w:sz w:val="16"/>
                <w:szCs w:val="16"/>
                <w:color w:val="3E474E"/>
              </w:rPr>
              <w:t>1,109,868</w:t>
            </w:r>
          </w:p>
        </w:tc>
      </w:tr>
      <w:tr>
        <w:trPr>
          <w:trHeight w:val="243"/>
        </w:trPr>
        <w:tc>
          <w:tcPr>
            <w:tcW w:w="728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Tax Fees</w:t>
            </w:r>
            <w:r>
              <w:rPr>
                <w:rFonts w:ascii="Arial" w:cs="Arial" w:eastAsia="Arial" w:hAnsi="Arial"/>
                <w:sz w:val="21"/>
                <w:szCs w:val="21"/>
                <w:color w:val="3E474E"/>
                <w:vertAlign w:val="superscript"/>
              </w:rPr>
              <w:t>(2)</w:t>
            </w:r>
          </w:p>
        </w:tc>
        <w:tc>
          <w:tcPr>
            <w:tcW w:w="2060" w:type="dxa"/>
            <w:vAlign w:val="bottom"/>
            <w:shd w:val="clear" w:color="auto" w:fill="E3EAEE"/>
          </w:tcPr>
          <w:p>
            <w:pPr>
              <w:jc w:val="right"/>
              <w:ind w:right="179"/>
              <w:spacing w:after="0"/>
              <w:rPr>
                <w:sz w:val="20"/>
                <w:szCs w:val="20"/>
                <w:color w:val="auto"/>
              </w:rPr>
            </w:pPr>
            <w:r>
              <w:rPr>
                <w:rFonts w:ascii="Arial" w:cs="Arial" w:eastAsia="Arial" w:hAnsi="Arial"/>
                <w:sz w:val="16"/>
                <w:szCs w:val="16"/>
                <w:color w:val="3E474E"/>
              </w:rPr>
              <w:t>203,154</w:t>
            </w:r>
          </w:p>
        </w:tc>
        <w:tc>
          <w:tcPr>
            <w:tcW w:w="19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474,550</w:t>
            </w:r>
          </w:p>
        </w:tc>
      </w:tr>
      <w:tr>
        <w:trPr>
          <w:trHeight w:val="243"/>
        </w:trPr>
        <w:tc>
          <w:tcPr>
            <w:tcW w:w="7280" w:type="dxa"/>
            <w:vAlign w:val="bottom"/>
            <w:tcBorders>
              <w:bottom w:val="single" w:sz="8" w:color="007AA7"/>
            </w:tcBorders>
          </w:tcPr>
          <w:p>
            <w:pPr>
              <w:ind w:left="140"/>
              <w:spacing w:after="0"/>
              <w:rPr>
                <w:sz w:val="20"/>
                <w:szCs w:val="20"/>
                <w:color w:val="auto"/>
              </w:rPr>
            </w:pPr>
            <w:r>
              <w:rPr>
                <w:rFonts w:ascii="Arial" w:cs="Arial" w:eastAsia="Arial" w:hAnsi="Arial"/>
                <w:sz w:val="16"/>
                <w:szCs w:val="16"/>
                <w:color w:val="3E474E"/>
              </w:rPr>
              <w:t>All Other Fees</w:t>
            </w:r>
            <w:r>
              <w:rPr>
                <w:rFonts w:ascii="Arial" w:cs="Arial" w:eastAsia="Arial" w:hAnsi="Arial"/>
                <w:sz w:val="21"/>
                <w:szCs w:val="21"/>
                <w:color w:val="3E474E"/>
                <w:vertAlign w:val="superscript"/>
              </w:rPr>
              <w:t>(3)</w:t>
            </w:r>
          </w:p>
        </w:tc>
        <w:tc>
          <w:tcPr>
            <w:tcW w:w="2060" w:type="dxa"/>
            <w:vAlign w:val="bottom"/>
            <w:tcBorders>
              <w:bottom w:val="single" w:sz="8" w:color="007AA7"/>
            </w:tcBorders>
          </w:tcPr>
          <w:p>
            <w:pPr>
              <w:jc w:val="right"/>
              <w:ind w:right="179"/>
              <w:spacing w:after="0"/>
              <w:rPr>
                <w:sz w:val="20"/>
                <w:szCs w:val="20"/>
                <w:color w:val="auto"/>
              </w:rPr>
            </w:pPr>
            <w:r>
              <w:rPr>
                <w:rFonts w:ascii="Arial" w:cs="Arial" w:eastAsia="Arial" w:hAnsi="Arial"/>
                <w:sz w:val="16"/>
                <w:szCs w:val="16"/>
                <w:color w:val="3E474E"/>
              </w:rPr>
              <w:t>0</w:t>
            </w:r>
          </w:p>
        </w:tc>
        <w:tc>
          <w:tcPr>
            <w:tcW w:w="1900" w:type="dxa"/>
            <w:vAlign w:val="bottom"/>
            <w:tcBorders>
              <w:bottom w:val="single" w:sz="8" w:color="007AA7"/>
            </w:tcBorders>
          </w:tcPr>
          <w:p>
            <w:pPr>
              <w:jc w:val="right"/>
              <w:spacing w:after="0"/>
              <w:rPr>
                <w:sz w:val="20"/>
                <w:szCs w:val="20"/>
                <w:color w:val="auto"/>
              </w:rPr>
            </w:pPr>
            <w:r>
              <w:rPr>
                <w:rFonts w:ascii="Arial" w:cs="Arial" w:eastAsia="Arial" w:hAnsi="Arial"/>
                <w:sz w:val="16"/>
                <w:szCs w:val="16"/>
                <w:color w:val="3E474E"/>
              </w:rPr>
              <w:t>0</w:t>
            </w:r>
          </w:p>
        </w:tc>
      </w:tr>
      <w:tr>
        <w:trPr>
          <w:trHeight w:val="230"/>
        </w:trPr>
        <w:tc>
          <w:tcPr>
            <w:tcW w:w="7280" w:type="dxa"/>
            <w:vAlign w:val="bottom"/>
            <w:tcBorders>
              <w:bottom w:val="single" w:sz="8" w:color="007AA7"/>
            </w:tcBorders>
            <w:shd w:val="clear" w:color="auto" w:fill="E3EAEE"/>
          </w:tcPr>
          <w:p>
            <w:pPr>
              <w:ind w:left="140"/>
              <w:spacing w:after="0"/>
              <w:rPr>
                <w:sz w:val="20"/>
                <w:szCs w:val="20"/>
                <w:color w:val="auto"/>
              </w:rPr>
            </w:pPr>
            <w:r>
              <w:rPr>
                <w:rFonts w:ascii="Arial" w:cs="Arial" w:eastAsia="Arial" w:hAnsi="Arial"/>
                <w:sz w:val="16"/>
                <w:szCs w:val="16"/>
                <w:color w:val="3E474E"/>
              </w:rPr>
              <w:t>Total</w:t>
            </w:r>
          </w:p>
        </w:tc>
        <w:tc>
          <w:tcPr>
            <w:tcW w:w="2060" w:type="dxa"/>
            <w:vAlign w:val="bottom"/>
            <w:tcBorders>
              <w:bottom w:val="single" w:sz="8" w:color="007AA7"/>
            </w:tcBorders>
            <w:shd w:val="clear" w:color="auto" w:fill="E3EAEE"/>
          </w:tcPr>
          <w:p>
            <w:pPr>
              <w:jc w:val="right"/>
              <w:ind w:right="179"/>
              <w:spacing w:after="0"/>
              <w:rPr>
                <w:sz w:val="20"/>
                <w:szCs w:val="20"/>
                <w:color w:val="auto"/>
              </w:rPr>
            </w:pPr>
            <w:r>
              <w:rPr>
                <w:rFonts w:ascii="Arial" w:cs="Arial" w:eastAsia="Arial" w:hAnsi="Arial"/>
                <w:sz w:val="16"/>
                <w:szCs w:val="16"/>
                <w:color w:val="3E474E"/>
              </w:rPr>
              <w:t>1,265,639</w:t>
            </w:r>
          </w:p>
        </w:tc>
        <w:tc>
          <w:tcPr>
            <w:tcW w:w="1900" w:type="dxa"/>
            <w:vAlign w:val="bottom"/>
            <w:tcBorders>
              <w:bottom w:val="single" w:sz="8" w:color="007AA7"/>
            </w:tcBorders>
            <w:shd w:val="clear" w:color="auto" w:fill="E3EAEE"/>
          </w:tcPr>
          <w:p>
            <w:pPr>
              <w:jc w:val="right"/>
              <w:spacing w:after="0"/>
              <w:rPr>
                <w:sz w:val="20"/>
                <w:szCs w:val="20"/>
                <w:color w:val="auto"/>
              </w:rPr>
            </w:pPr>
            <w:r>
              <w:rPr>
                <w:rFonts w:ascii="Arial" w:cs="Arial" w:eastAsia="Arial" w:hAnsi="Arial"/>
                <w:sz w:val="16"/>
                <w:szCs w:val="16"/>
                <w:color w:val="3E474E"/>
              </w:rPr>
              <w:t>1,584,418</w:t>
            </w:r>
          </w:p>
        </w:tc>
      </w:tr>
    </w:tbl>
    <w:p>
      <w:pPr>
        <w:spacing w:after="0" w:line="63" w:lineRule="exact"/>
        <w:rPr>
          <w:sz w:val="20"/>
          <w:szCs w:val="20"/>
          <w:color w:val="auto"/>
        </w:rPr>
      </w:pPr>
    </w:p>
    <w:p>
      <w:pPr>
        <w:ind w:left="180" w:right="260" w:hanging="172"/>
        <w:spacing w:after="0" w:line="230" w:lineRule="auto"/>
        <w:tabs>
          <w:tab w:leader="none" w:pos="153" w:val="left"/>
        </w:tabs>
        <w:numPr>
          <w:ilvl w:val="0"/>
          <w:numId w:val="70"/>
        </w:numPr>
        <w:rPr>
          <w:rFonts w:ascii="Arial" w:cs="Arial" w:eastAsia="Arial" w:hAnsi="Arial"/>
          <w:sz w:val="16"/>
          <w:szCs w:val="16"/>
          <w:color w:val="3E474E"/>
          <w:vertAlign w:val="superscript"/>
        </w:rPr>
      </w:pPr>
      <w:r>
        <w:rPr>
          <w:rFonts w:ascii="Arial" w:cs="Arial" w:eastAsia="Arial" w:hAnsi="Arial"/>
          <w:sz w:val="13"/>
          <w:szCs w:val="13"/>
          <w:color w:val="3E474E"/>
        </w:rPr>
        <w:t>Audit fees for 2025 and 2024 include fees for the annual audit of the consolidated financial statements of the Company included in the Company’s Annual Report on Form 10-K, reviews of the condensed consolidated financial statements of the Company included in the Company’s Quarterly Reports on Form 10-Q, and the issuance of comfort letters and consents in connection with the Company’s registration statements and prospectus supplements filed with the SEC.</w:t>
      </w:r>
    </w:p>
    <w:p>
      <w:pPr>
        <w:spacing w:after="0" w:line="50" w:lineRule="exact"/>
        <w:rPr>
          <w:rFonts w:ascii="Arial" w:cs="Arial" w:eastAsia="Arial" w:hAnsi="Arial"/>
          <w:sz w:val="16"/>
          <w:szCs w:val="16"/>
          <w:color w:val="3E474E"/>
          <w:vertAlign w:val="superscript"/>
        </w:rPr>
      </w:pPr>
    </w:p>
    <w:p>
      <w:pPr>
        <w:ind w:left="180" w:right="40" w:hanging="172"/>
        <w:spacing w:after="0" w:line="230" w:lineRule="auto"/>
        <w:tabs>
          <w:tab w:leader="none" w:pos="153" w:val="left"/>
        </w:tabs>
        <w:numPr>
          <w:ilvl w:val="0"/>
          <w:numId w:val="70"/>
        </w:numPr>
        <w:rPr>
          <w:rFonts w:ascii="Arial" w:cs="Arial" w:eastAsia="Arial" w:hAnsi="Arial"/>
          <w:sz w:val="16"/>
          <w:szCs w:val="16"/>
          <w:color w:val="3E474E"/>
          <w:vertAlign w:val="superscript"/>
        </w:rPr>
      </w:pPr>
      <w:r>
        <w:rPr>
          <w:rFonts w:ascii="Arial" w:cs="Arial" w:eastAsia="Arial" w:hAnsi="Arial"/>
          <w:sz w:val="13"/>
          <w:szCs w:val="13"/>
          <w:color w:val="3E474E"/>
        </w:rPr>
        <w:t>Tax fees include fees for tax compliance services and tax planning. The Company paid aggregate tax fees of $203,154 in 2025 to KPMG LLP for tax compliance and tax advisory services. KPMG did not serve as the independent registered accounting firm for either fiscal year. As noted above, following a competitive request for proposal process, KPMG LLP has been appointed as the Company's independent registered public accounting firm for fiscal year 2026.</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1478A3"/>
        </w:rPr>
        <w:t>Pre-Approval Policies and Procedures</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3E474E"/>
        </w:rPr>
        <w:t>The Audit Committee’s policy is to review and pre-approve, either pursuant to the Audit Committee Pre-Approval Policy or through a separate pre-approval by the Audit Committee, any engagement of the Company’s independent auditor to provide any permitted non-audit service to the Company. Pursuant to the Audit Committee Pre-Approval Policy, which the Audit Committee reviews and reassesses periodically, a list of specific services within certain categories of services, including audit, audit-related and tax services, are specifically pre-approved for the upcoming or current fiscal year, subject to an aggregate maximum annual fee payable by us for each category of pre-approved services. Any service that is not included in the approved list of services must be separately pre-approved by the Audit Committee. In addition, the Audit Committee may delegate authority to its chairperson to pre-approve engagements for the performance of audit and non-audit services. The chairperson must report all pre-approval decisions to the Audit Committee at its next scheduled meeting. The Audit Committee approved 100% of the audit-related fees, tax fees, and other fees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36</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747C83"/>
        </w:rPr>
        <w:t>Proposal 3: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100"/>
        <w:spacing w:after="0" w:line="298" w:lineRule="auto"/>
        <w:rPr>
          <w:sz w:val="20"/>
          <w:szCs w:val="20"/>
          <w:color w:val="auto"/>
        </w:rPr>
      </w:pPr>
      <w:r>
        <w:rPr>
          <w:rFonts w:ascii="Arial" w:cs="Arial" w:eastAsia="Arial" w:hAnsi="Arial"/>
          <w:sz w:val="43"/>
          <w:szCs w:val="43"/>
          <w:b w:val="1"/>
          <w:bCs w:val="1"/>
          <w:color w:val="1478A3"/>
        </w:rPr>
        <w:t>Proposal 3: Advisory Vote on Executive Compensation</w:t>
      </w:r>
    </w:p>
    <w:p>
      <w:pPr>
        <w:spacing w:after="0" w:line="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E474E"/>
        </w:rPr>
        <w:t>Section 14A of the Exchange Act enables our stockholders to vote to approve, on a non-binding, advisory basis, the compensation of our NEOs as disclosed in this Proxy Statement in accordance with the SEC’s rules.</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6"/>
          <w:szCs w:val="16"/>
          <w:color w:val="3E474E"/>
        </w:rPr>
        <w:t>As described in detail under the heading “Executive Compensation - Compensation Discussion and Analysis,” our executive compensation programs are designed to attract and retain executive talent and to align the interests of our NEOs with the interests of the Company and our stockholders by providing market competitive compensation that is closely tied to short-term and long-term performance goals set by our Compensation Committee. The compensation of our NEOs is comprised of a mix of base salary, short-term incentive compensation, long-term incentive compensation, and, from time to time, discretionary amounts as evaluated by the Compensation Committee and the Board. Please read the "Compensation Discussion and Analysis" and the "Compensation Tables and Narratives" sections for additional details about our executive compensation programs, including information about the fiscal year 2025 compensation of our NEOs.</w:t>
      </w:r>
    </w:p>
    <w:p>
      <w:pPr>
        <w:spacing w:after="0" w:line="203" w:lineRule="exact"/>
        <w:rPr>
          <w:sz w:val="20"/>
          <w:szCs w:val="20"/>
          <w:color w:val="auto"/>
        </w:rPr>
      </w:pPr>
    </w:p>
    <w:p>
      <w:pPr>
        <w:spacing w:after="0" w:line="304" w:lineRule="auto"/>
        <w:rPr>
          <w:sz w:val="20"/>
          <w:szCs w:val="20"/>
          <w:color w:val="auto"/>
        </w:rPr>
      </w:pPr>
      <w:r>
        <w:rPr>
          <w:rFonts w:ascii="Arial" w:cs="Arial" w:eastAsia="Arial" w:hAnsi="Arial"/>
          <w:sz w:val="16"/>
          <w:szCs w:val="16"/>
          <w:color w:val="3E474E"/>
        </w:rPr>
        <w:t>We are asking our stockholders to indicate their support for our NEO compensation as described in this Proxy Statement. Accordingly, our Board of Directors is asking our stockholders to cast a non-binding advisory vote “FOR” the following resolution at the Annual Meeting:</w:t>
      </w:r>
    </w:p>
    <w:p>
      <w:pPr>
        <w:spacing w:after="0" w:line="168" w:lineRule="exact"/>
        <w:rPr>
          <w:sz w:val="20"/>
          <w:szCs w:val="20"/>
          <w:color w:val="auto"/>
        </w:rPr>
      </w:pPr>
    </w:p>
    <w:p>
      <w:pPr>
        <w:ind w:right="600"/>
        <w:spacing w:after="0" w:line="275" w:lineRule="auto"/>
        <w:rPr>
          <w:sz w:val="20"/>
          <w:szCs w:val="20"/>
          <w:color w:val="auto"/>
        </w:rPr>
      </w:pPr>
      <w:r>
        <w:rPr>
          <w:rFonts w:ascii="Arial" w:cs="Arial" w:eastAsia="Arial" w:hAnsi="Arial"/>
          <w:sz w:val="16"/>
          <w:szCs w:val="16"/>
          <w:color w:val="3E474E"/>
        </w:rPr>
        <w:t>“RESOLVED, that the Company’s stockholders approve, on an advisory basis, the compensation of the named executive officers, as disclosed in the Company’s Proxy Statement for the 2026 Annual Meeting of Stockholders pursuant to the compensation disclosure rules of the SEC, including the Compensation Discussion and Analysis, the Summary Compensation Table, and the other related tables and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1478A3"/>
        </w:rPr>
        <w:t>Vote Required and Recommendation</w:t>
      </w:r>
    </w:p>
    <w:p>
      <w:pPr>
        <w:spacing w:after="0" w:line="43"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3E474E"/>
        </w:rPr>
        <w:t>The vote on the compensation of our NEOs as disclosed in this Proxy Statement is advisory, and therefore not binding on the Company, the Compensation Committee, or our Board of Directors. Our Board of Directors and our Compensation Committee value the opinions of our stockholders, and, to the extent there is any significant vote against the NEO compensation as disclosed in this Proxy Statement, we will consider our stockholders’ concerns and the Compensation Committee will evaluate whether any actions are necessary to address those concerns. We have recommended that our stockholders should cast an advisory vote on the compensation of our NEOs on an annual basis. Unless this policy changes, the next advisory vote on the compensation of our NEOs will be at the 2027 annual meeting of stockholders. The affirmative vote of a majority of votes cast is required to approve, on a non-binding, advisory basis, the compensation of the NEOs, as disclosed in the Company’s proxy statement pursuant to the compensation disclosure rules of the SEC, including the Compensation Discussion and Analysis, the Summary Compensation Table, and the other related tables and disclosures. For purposes of the vote on this proposal, abstentions will not be counted as votes cast and will have no effect on the result of the vote.</w:t>
      </w:r>
    </w:p>
    <w:p>
      <w:pPr>
        <w:spacing w:after="0" w:line="216" w:lineRule="exact"/>
        <w:rPr>
          <w:sz w:val="20"/>
          <w:szCs w:val="20"/>
          <w:color w:val="auto"/>
        </w:rPr>
      </w:pPr>
    </w:p>
    <w:p>
      <w:pPr>
        <w:ind w:right="900"/>
        <w:spacing w:after="0" w:line="296" w:lineRule="auto"/>
        <w:rPr>
          <w:sz w:val="20"/>
          <w:szCs w:val="20"/>
          <w:color w:val="auto"/>
        </w:rPr>
      </w:pPr>
      <w:r>
        <w:rPr>
          <w:rFonts w:ascii="Arial" w:cs="Arial" w:eastAsia="Arial" w:hAnsi="Arial"/>
          <w:sz w:val="18"/>
          <w:szCs w:val="18"/>
          <w:b w:val="1"/>
          <w:bCs w:val="1"/>
          <w:color w:val="57AED5"/>
        </w:rPr>
        <w:t>OUR BOARD OF DIRECTORS RECOMMENDS A VOTE "FOR" THE APPROVAL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37</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747C83"/>
        </w:rPr>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Compensation Committee Report</w:t>
      </w:r>
    </w:p>
    <w:p>
      <w:pPr>
        <w:spacing w:after="0" w:line="50" w:lineRule="exact"/>
        <w:rPr>
          <w:sz w:val="20"/>
          <w:szCs w:val="20"/>
          <w:color w:val="auto"/>
        </w:rPr>
      </w:pPr>
    </w:p>
    <w:p>
      <w:pPr>
        <w:ind w:right="440"/>
        <w:spacing w:after="0" w:line="264" w:lineRule="auto"/>
        <w:rPr>
          <w:sz w:val="20"/>
          <w:szCs w:val="20"/>
          <w:color w:val="auto"/>
        </w:rPr>
      </w:pPr>
      <w:r>
        <w:rPr>
          <w:rFonts w:ascii="Arial" w:cs="Arial" w:eastAsia="Arial" w:hAnsi="Arial"/>
          <w:sz w:val="16"/>
          <w:szCs w:val="16"/>
          <w:color w:val="3E474E"/>
        </w:rPr>
        <w:t>The Compensation Committee has reviewed and discussed with management the information contained in the Compensation Discussion and Analysis section of this Proxy Statement and recommended to the Board of Directors that the Compensation Discussion and Analysis be included in this Proxy Statement and the Annual Report on Form 10-K of AH Realty Trust (formerly Armada Hoffler Properties,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0465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40" w:type="dxa"/>
            <w:vAlign w:val="bottom"/>
            <w:tcBorders>
              <w:right w:val="single" w:sz="8" w:color="57AED5"/>
            </w:tcBorders>
          </w:tcPr>
          <w:p>
            <w:pPr>
              <w:ind w:left="140"/>
              <w:spacing w:after="0"/>
              <w:rPr>
                <w:sz w:val="20"/>
                <w:szCs w:val="20"/>
                <w:color w:val="auto"/>
              </w:rPr>
            </w:pPr>
            <w:r>
              <w:rPr>
                <w:rFonts w:ascii="Arial" w:cs="Arial" w:eastAsia="Arial" w:hAnsi="Arial"/>
                <w:sz w:val="16"/>
                <w:szCs w:val="16"/>
                <w:b w:val="1"/>
                <w:bCs w:val="1"/>
                <w:color w:val="1478A3"/>
              </w:rPr>
              <w:t>Submitted by the Compensation</w:t>
            </w:r>
          </w:p>
        </w:tc>
        <w:tc>
          <w:tcPr>
            <w:tcW w:w="2080" w:type="dxa"/>
            <w:vAlign w:val="bottom"/>
          </w:tcPr>
          <w:p>
            <w:pPr>
              <w:ind w:left="220"/>
              <w:spacing w:after="0"/>
              <w:rPr>
                <w:sz w:val="20"/>
                <w:szCs w:val="20"/>
                <w:color w:val="auto"/>
              </w:rPr>
            </w:pPr>
            <w:r>
              <w:rPr>
                <w:rFonts w:ascii="Arial" w:cs="Arial" w:eastAsia="Arial" w:hAnsi="Arial"/>
                <w:sz w:val="16"/>
                <w:szCs w:val="16"/>
                <w:color w:val="3E474E"/>
              </w:rPr>
              <w:t>James C. Cherry</w:t>
            </w:r>
          </w:p>
        </w:tc>
        <w:tc>
          <w:tcPr>
            <w:tcW w:w="2440" w:type="dxa"/>
            <w:vAlign w:val="bottom"/>
            <w:vMerge w:val="restart"/>
          </w:tcPr>
          <w:p>
            <w:pPr>
              <w:ind w:left="640"/>
              <w:spacing w:after="0"/>
              <w:rPr>
                <w:sz w:val="20"/>
                <w:szCs w:val="20"/>
                <w:color w:val="auto"/>
              </w:rPr>
            </w:pPr>
            <w:r>
              <w:rPr>
                <w:rFonts w:ascii="Arial" w:cs="Arial" w:eastAsia="Arial" w:hAnsi="Arial"/>
                <w:sz w:val="16"/>
                <w:szCs w:val="16"/>
                <w:color w:val="3E474E"/>
              </w:rPr>
              <w:t>George F. Allen</w:t>
            </w:r>
          </w:p>
        </w:tc>
        <w:tc>
          <w:tcPr>
            <w:tcW w:w="2740" w:type="dxa"/>
            <w:vAlign w:val="bottom"/>
            <w:vMerge w:val="restart"/>
          </w:tcPr>
          <w:p>
            <w:pPr>
              <w:ind w:left="700"/>
              <w:spacing w:after="0"/>
              <w:rPr>
                <w:sz w:val="20"/>
                <w:szCs w:val="20"/>
                <w:color w:val="auto"/>
              </w:rPr>
            </w:pPr>
            <w:r>
              <w:rPr>
                <w:rFonts w:ascii="Arial" w:cs="Arial" w:eastAsia="Arial" w:hAnsi="Arial"/>
                <w:sz w:val="16"/>
                <w:szCs w:val="16"/>
                <w:color w:val="3E474E"/>
              </w:rPr>
              <w:t>Jennifer R. Boykin</w:t>
            </w:r>
          </w:p>
        </w:tc>
        <w:tc>
          <w:tcPr>
            <w:tcW w:w="0" w:type="dxa"/>
            <w:vAlign w:val="bottom"/>
          </w:tcPr>
          <w:p>
            <w:pPr>
              <w:spacing w:after="0"/>
              <w:rPr>
                <w:sz w:val="1"/>
                <w:szCs w:val="1"/>
                <w:color w:val="auto"/>
              </w:rPr>
            </w:pPr>
          </w:p>
        </w:tc>
      </w:tr>
      <w:tr>
        <w:trPr>
          <w:trHeight w:val="120"/>
        </w:trPr>
        <w:tc>
          <w:tcPr>
            <w:tcW w:w="3840" w:type="dxa"/>
            <w:vAlign w:val="bottom"/>
            <w:tcBorders>
              <w:right w:val="single" w:sz="8" w:color="57AED5"/>
            </w:tcBorders>
            <w:vMerge w:val="restart"/>
          </w:tcPr>
          <w:p>
            <w:pPr>
              <w:ind w:left="140"/>
              <w:spacing w:after="0"/>
              <w:rPr>
                <w:sz w:val="20"/>
                <w:szCs w:val="20"/>
                <w:color w:val="auto"/>
              </w:rPr>
            </w:pPr>
            <w:r>
              <w:rPr>
                <w:rFonts w:ascii="Arial" w:cs="Arial" w:eastAsia="Arial" w:hAnsi="Arial"/>
                <w:sz w:val="16"/>
                <w:szCs w:val="16"/>
                <w:b w:val="1"/>
                <w:bCs w:val="1"/>
                <w:color w:val="1478A3"/>
              </w:rPr>
              <w:t>Committee of the Board of Directors:</w:t>
            </w:r>
          </w:p>
        </w:tc>
        <w:tc>
          <w:tcPr>
            <w:tcW w:w="2080" w:type="dxa"/>
            <w:vAlign w:val="bottom"/>
            <w:vMerge w:val="restart"/>
          </w:tcPr>
          <w:p>
            <w:pPr>
              <w:ind w:left="220"/>
              <w:spacing w:after="0"/>
              <w:rPr>
                <w:sz w:val="20"/>
                <w:szCs w:val="20"/>
                <w:color w:val="auto"/>
              </w:rPr>
            </w:pPr>
            <w:r>
              <w:rPr>
                <w:rFonts w:ascii="Arial" w:cs="Arial" w:eastAsia="Arial" w:hAnsi="Arial"/>
                <w:sz w:val="16"/>
                <w:szCs w:val="16"/>
                <w:color w:val="3E474E"/>
              </w:rPr>
              <w:t>(Chairperson)</w:t>
            </w:r>
          </w:p>
        </w:tc>
        <w:tc>
          <w:tcPr>
            <w:tcW w:w="2440" w:type="dxa"/>
            <w:vAlign w:val="bottom"/>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40" w:type="dxa"/>
            <w:vAlign w:val="bottom"/>
            <w:tcBorders>
              <w:right w:val="single" w:sz="8" w:color="57AED5"/>
            </w:tcBorders>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24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40" w:type="dxa"/>
            <w:vAlign w:val="bottom"/>
            <w:tcBorders>
              <w:bottom w:val="single" w:sz="8" w:color="57AED5"/>
            </w:tcBorders>
          </w:tcPr>
          <w:p>
            <w:pPr>
              <w:spacing w:after="0"/>
              <w:rPr>
                <w:sz w:val="14"/>
                <w:szCs w:val="14"/>
                <w:color w:val="auto"/>
              </w:rPr>
            </w:pPr>
          </w:p>
        </w:tc>
        <w:tc>
          <w:tcPr>
            <w:tcW w:w="2080" w:type="dxa"/>
            <w:vAlign w:val="bottom"/>
            <w:tcBorders>
              <w:bottom w:val="single" w:sz="8" w:color="57AED5"/>
            </w:tcBorders>
          </w:tcPr>
          <w:p>
            <w:pPr>
              <w:spacing w:after="0"/>
              <w:rPr>
                <w:sz w:val="14"/>
                <w:szCs w:val="14"/>
                <w:color w:val="auto"/>
              </w:rPr>
            </w:pPr>
          </w:p>
        </w:tc>
        <w:tc>
          <w:tcPr>
            <w:tcW w:w="2440" w:type="dxa"/>
            <w:vAlign w:val="bottom"/>
            <w:tcBorders>
              <w:bottom w:val="single" w:sz="8" w:color="57AED5"/>
            </w:tcBorders>
          </w:tcPr>
          <w:p>
            <w:pPr>
              <w:spacing w:after="0"/>
              <w:rPr>
                <w:sz w:val="14"/>
                <w:szCs w:val="14"/>
                <w:color w:val="auto"/>
              </w:rPr>
            </w:pPr>
          </w:p>
        </w:tc>
        <w:tc>
          <w:tcPr>
            <w:tcW w:w="2740" w:type="dxa"/>
            <w:vAlign w:val="bottom"/>
            <w:tcBorders>
              <w:bottom w:val="single" w:sz="8" w:color="57AED5"/>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3E474E"/>
        </w:rPr>
        <w:t>The Compensation Committee's guiding principle is aligning the interests of our executive team with those of our stockholders by tying their short-term and long-term incentive compensation to the achievement of certain financial and strategic goals. We strive to establish rigorous and disciplined financial and non-financial targets to reward the achievement of both short-term and long-term success, as well as to retain, develop and motivate our key leaders.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3E474E"/>
        </w:rPr>
        <w:t>The foregoing report shall not be deemed incorporated by reference by any general statement incorporating by reference this Proxy Statement into any filing under the Securities Act of 1933, as amended (the “Securities Act”), or under the Exchange Act, except to the extent that we specifically incorporate this information by reference and shall not otherwise be deemed filed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38</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747C83"/>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Executive Officers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3E474E"/>
        </w:rPr>
        <w:t>The following table sets forth information concerning our current executive officers. Executives serve at the Board’s discretion.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3740" w:type="dxa"/>
            <w:vAlign w:val="bottom"/>
            <w:shd w:val="clear" w:color="auto" w:fill="E3EAEE"/>
          </w:tcPr>
          <w:p>
            <w:pPr>
              <w:ind w:left="140"/>
              <w:spacing w:after="0"/>
              <w:rPr>
                <w:sz w:val="20"/>
                <w:szCs w:val="20"/>
                <w:color w:val="auto"/>
              </w:rPr>
            </w:pPr>
            <w:r>
              <w:rPr>
                <w:rFonts w:ascii="Arial" w:cs="Arial" w:eastAsia="Arial" w:hAnsi="Arial"/>
                <w:sz w:val="16"/>
                <w:szCs w:val="16"/>
                <w:b w:val="1"/>
                <w:bCs w:val="1"/>
                <w:color w:val="1478A3"/>
              </w:rPr>
              <w:t>Name</w:t>
            </w:r>
          </w:p>
        </w:tc>
        <w:tc>
          <w:tcPr>
            <w:tcW w:w="1680" w:type="dxa"/>
            <w:vAlign w:val="bottom"/>
            <w:shd w:val="clear" w:color="auto" w:fill="E3EAEE"/>
          </w:tcPr>
          <w:p>
            <w:pPr>
              <w:jc w:val="center"/>
              <w:ind w:left="328"/>
              <w:spacing w:after="0"/>
              <w:rPr>
                <w:sz w:val="20"/>
                <w:szCs w:val="20"/>
                <w:color w:val="auto"/>
              </w:rPr>
            </w:pPr>
            <w:r>
              <w:rPr>
                <w:rFonts w:ascii="Arial" w:cs="Arial" w:eastAsia="Arial" w:hAnsi="Arial"/>
                <w:sz w:val="32"/>
                <w:szCs w:val="32"/>
                <w:b w:val="1"/>
                <w:bCs w:val="1"/>
                <w:color w:val="1478A3"/>
                <w:w w:val="81"/>
                <w:vertAlign w:val="subscript"/>
              </w:rPr>
              <w:t>Age</w:t>
            </w:r>
            <w:r>
              <w:rPr>
                <w:rFonts w:ascii="Arial" w:cs="Arial" w:eastAsia="Arial" w:hAnsi="Arial"/>
                <w:sz w:val="11"/>
                <w:szCs w:val="11"/>
                <w:b w:val="1"/>
                <w:bCs w:val="1"/>
                <w:color w:val="1478A3"/>
                <w:w w:val="81"/>
              </w:rPr>
              <w:t>(1)</w:t>
            </w:r>
          </w:p>
        </w:tc>
        <w:tc>
          <w:tcPr>
            <w:tcW w:w="5680" w:type="dxa"/>
            <w:vAlign w:val="bottom"/>
            <w:shd w:val="clear" w:color="auto" w:fill="E3EAEE"/>
          </w:tcPr>
          <w:p>
            <w:pPr>
              <w:ind w:left="420"/>
              <w:spacing w:after="0"/>
              <w:rPr>
                <w:sz w:val="20"/>
                <w:szCs w:val="20"/>
                <w:color w:val="auto"/>
              </w:rPr>
            </w:pPr>
            <w:r>
              <w:rPr>
                <w:rFonts w:ascii="Arial" w:cs="Arial" w:eastAsia="Arial" w:hAnsi="Arial"/>
                <w:sz w:val="16"/>
                <w:szCs w:val="16"/>
                <w:b w:val="1"/>
                <w:bCs w:val="1"/>
                <w:color w:val="1478A3"/>
              </w:rPr>
              <w:t>Title</w:t>
            </w:r>
          </w:p>
        </w:tc>
      </w:tr>
      <w:tr>
        <w:trPr>
          <w:trHeight w:val="243"/>
        </w:trPr>
        <w:tc>
          <w:tcPr>
            <w:tcW w:w="374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Shawn J. Tibbetts</w:t>
            </w:r>
          </w:p>
        </w:tc>
        <w:tc>
          <w:tcPr>
            <w:tcW w:w="1680" w:type="dxa"/>
            <w:vAlign w:val="bottom"/>
            <w:shd w:val="clear" w:color="auto" w:fill="E3EAEE"/>
          </w:tcPr>
          <w:p>
            <w:pPr>
              <w:jc w:val="center"/>
              <w:ind w:left="308"/>
              <w:spacing w:after="0"/>
              <w:rPr>
                <w:sz w:val="20"/>
                <w:szCs w:val="20"/>
                <w:color w:val="auto"/>
              </w:rPr>
            </w:pPr>
            <w:r>
              <w:rPr>
                <w:rFonts w:ascii="Arial" w:cs="Arial" w:eastAsia="Arial" w:hAnsi="Arial"/>
                <w:sz w:val="16"/>
                <w:szCs w:val="16"/>
                <w:color w:val="3E474E"/>
              </w:rPr>
              <w:t>45</w:t>
            </w:r>
          </w:p>
        </w:tc>
        <w:tc>
          <w:tcPr>
            <w:tcW w:w="5680" w:type="dxa"/>
            <w:vAlign w:val="bottom"/>
            <w:shd w:val="clear" w:color="auto" w:fill="E3EAEE"/>
          </w:tcPr>
          <w:p>
            <w:pPr>
              <w:ind w:left="420"/>
              <w:spacing w:after="0"/>
              <w:rPr>
                <w:sz w:val="20"/>
                <w:szCs w:val="20"/>
                <w:color w:val="auto"/>
              </w:rPr>
            </w:pPr>
            <w:r>
              <w:rPr>
                <w:rFonts w:ascii="Arial" w:cs="Arial" w:eastAsia="Arial" w:hAnsi="Arial"/>
                <w:sz w:val="16"/>
                <w:szCs w:val="16"/>
                <w:color w:val="3E474E"/>
              </w:rPr>
              <w:t>Chairman, Chief Executive Officer and President</w:t>
            </w:r>
          </w:p>
        </w:tc>
      </w:tr>
      <w:tr>
        <w:trPr>
          <w:trHeight w:val="227"/>
        </w:trPr>
        <w:tc>
          <w:tcPr>
            <w:tcW w:w="3740" w:type="dxa"/>
            <w:vAlign w:val="bottom"/>
          </w:tcPr>
          <w:p>
            <w:pPr>
              <w:ind w:left="140"/>
              <w:spacing w:after="0"/>
              <w:rPr>
                <w:sz w:val="20"/>
                <w:szCs w:val="20"/>
                <w:color w:val="auto"/>
              </w:rPr>
            </w:pPr>
            <w:r>
              <w:rPr>
                <w:rFonts w:ascii="Arial" w:cs="Arial" w:eastAsia="Arial" w:hAnsi="Arial"/>
                <w:sz w:val="16"/>
                <w:szCs w:val="16"/>
                <w:color w:val="3E474E"/>
              </w:rPr>
              <w:t>Matthew T. Barnes-Smith</w:t>
            </w:r>
          </w:p>
        </w:tc>
        <w:tc>
          <w:tcPr>
            <w:tcW w:w="1680" w:type="dxa"/>
            <w:vAlign w:val="bottom"/>
          </w:tcPr>
          <w:p>
            <w:pPr>
              <w:jc w:val="center"/>
              <w:ind w:left="308"/>
              <w:spacing w:after="0"/>
              <w:rPr>
                <w:sz w:val="20"/>
                <w:szCs w:val="20"/>
                <w:color w:val="auto"/>
              </w:rPr>
            </w:pPr>
            <w:r>
              <w:rPr>
                <w:rFonts w:ascii="Arial" w:cs="Arial" w:eastAsia="Arial" w:hAnsi="Arial"/>
                <w:sz w:val="16"/>
                <w:szCs w:val="16"/>
                <w:color w:val="3E474E"/>
              </w:rPr>
              <w:t>40</w:t>
            </w:r>
          </w:p>
        </w:tc>
        <w:tc>
          <w:tcPr>
            <w:tcW w:w="5680" w:type="dxa"/>
            <w:vAlign w:val="bottom"/>
          </w:tcPr>
          <w:p>
            <w:pPr>
              <w:ind w:left="420"/>
              <w:spacing w:after="0"/>
              <w:rPr>
                <w:sz w:val="20"/>
                <w:szCs w:val="20"/>
                <w:color w:val="auto"/>
              </w:rPr>
            </w:pPr>
            <w:r>
              <w:rPr>
                <w:rFonts w:ascii="Arial" w:cs="Arial" w:eastAsia="Arial" w:hAnsi="Arial"/>
                <w:sz w:val="16"/>
                <w:szCs w:val="16"/>
                <w:color w:val="3E474E"/>
              </w:rPr>
              <w:t>Chief Financial Officer and Treasurer</w:t>
            </w:r>
          </w:p>
        </w:tc>
      </w:tr>
    </w:tbl>
    <w:p>
      <w:pPr>
        <w:spacing w:after="0" w:line="74" w:lineRule="exact"/>
        <w:rPr>
          <w:sz w:val="20"/>
          <w:szCs w:val="20"/>
          <w:color w:val="auto"/>
        </w:rPr>
      </w:pPr>
    </w:p>
    <w:p>
      <w:pPr>
        <w:ind w:left="140" w:hanging="132"/>
        <w:spacing w:after="0"/>
        <w:tabs>
          <w:tab w:leader="none" w:pos="140" w:val="left"/>
        </w:tabs>
        <w:numPr>
          <w:ilvl w:val="0"/>
          <w:numId w:val="71"/>
        </w:numPr>
        <w:rPr>
          <w:rFonts w:ascii="Arial" w:cs="Arial" w:eastAsia="Arial" w:hAnsi="Arial"/>
          <w:sz w:val="16"/>
          <w:szCs w:val="16"/>
          <w:color w:val="3E474E"/>
          <w:vertAlign w:val="superscript"/>
        </w:rPr>
      </w:pPr>
      <w:r>
        <w:rPr>
          <w:rFonts w:ascii="Arial" w:cs="Arial" w:eastAsia="Arial" w:hAnsi="Arial"/>
          <w:sz w:val="13"/>
          <w:szCs w:val="13"/>
          <w:color w:val="3E474E"/>
        </w:rPr>
        <w:t>Age as of April 30, 2026.</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3E474E"/>
        </w:rPr>
        <w:t>For information with respect to Mr. Tibbetts, please refer to Proposal 1: Election of Directors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6261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6261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40" w:right="220"/>
        <w:spacing w:after="0" w:line="309" w:lineRule="auto"/>
        <w:rPr>
          <w:sz w:val="20"/>
          <w:szCs w:val="20"/>
          <w:color w:val="auto"/>
        </w:rPr>
      </w:pPr>
      <w:r>
        <w:rPr>
          <w:rFonts w:ascii="Arial" w:cs="Arial" w:eastAsia="Arial" w:hAnsi="Arial"/>
          <w:sz w:val="25"/>
          <w:szCs w:val="25"/>
          <w:b w:val="1"/>
          <w:bCs w:val="1"/>
          <w:color w:val="1478A3"/>
        </w:rPr>
        <w:t>Matthew T. Barnes-Smith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1478A3"/>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269240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3" w:lineRule="exact"/>
        <w:rPr>
          <w:sz w:val="20"/>
          <w:szCs w:val="20"/>
          <w:color w:val="auto"/>
        </w:rPr>
      </w:pPr>
    </w:p>
    <w:p>
      <w:pPr>
        <w:sectPr>
          <w:pgSz w:w="11900" w:h="16838" w:orient="portrait"/>
          <w:cols w:equalWidth="0" w:num="2">
            <w:col w:w="2640" w:space="720"/>
            <w:col w:w="7880"/>
          </w:cols>
          <w:pgMar w:left="320" w:top="130" w:right="339" w:bottom="1440" w:gutter="0" w:footer="0" w:header="0"/>
          <w:type w:val="continuous"/>
        </w:sectPr>
      </w:pPr>
    </w:p>
    <w:p>
      <w:pPr>
        <w:spacing w:after="0" w:line="56" w:lineRule="exact"/>
        <w:rPr>
          <w:sz w:val="20"/>
          <w:szCs w:val="20"/>
          <w:color w:val="auto"/>
        </w:rPr>
      </w:pPr>
    </w:p>
    <w:p>
      <w:pPr>
        <w:ind w:left="2940" w:right="80"/>
        <w:spacing w:after="0" w:line="242" w:lineRule="auto"/>
        <w:rPr>
          <w:sz w:val="20"/>
          <w:szCs w:val="20"/>
          <w:color w:val="auto"/>
        </w:rPr>
      </w:pPr>
      <w:r>
        <w:rPr>
          <w:rFonts w:ascii="Arial" w:cs="Arial" w:eastAsia="Arial" w:hAnsi="Arial"/>
          <w:sz w:val="16"/>
          <w:szCs w:val="16"/>
          <w:color w:val="3E474E"/>
        </w:rPr>
        <w:t>Mr. Barnes-Smith joined AH Realty as Executive Vice President of Finance in September 2020 and became Chief Financial Officer in March 2022. He oversees financial planning, accounting, strategy, risk management, and information technology, supporting disciplined capital allocation and long term value creation. Previously, he served as Chief Administration Officer for The Port of Virginia from 2017 to 2020 and as Vice President of Strategic Planning &amp; Analytics from 2013 to 2017. In these roles, he managed financial analytics, cost control, and strategic planning for a large, asset intensive organization, experience that directly supports AH Realty’s real estate investment and development activities. Mr. Barnes-Smith earned a Bachelor’s degree in Economics with Finance and a Master’s degree in Economics from Oklahoma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-941705</wp:posOffset>
            </wp:positionV>
            <wp:extent cx="1405890" cy="19627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0589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39</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747C83"/>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43"/>
          <w:szCs w:val="43"/>
          <w:color w:val="1478A3"/>
        </w:rPr>
        <w:t>Compensation Discussion and Analysis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color w:val="1478A3"/>
        </w:rPr>
        <w:t>Named Executive Officers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60" w:type="dxa"/>
            <w:vAlign w:val="bottom"/>
            <w:shd w:val="clear" w:color="auto" w:fill="E3EAEE"/>
          </w:tcPr>
          <w:p>
            <w:pPr>
              <w:ind w:left="140"/>
              <w:spacing w:after="0"/>
              <w:rPr>
                <w:sz w:val="20"/>
                <w:szCs w:val="20"/>
                <w:color w:val="auto"/>
              </w:rPr>
            </w:pPr>
            <w:r>
              <w:rPr>
                <w:rFonts w:ascii="Arial" w:cs="Arial" w:eastAsia="Arial" w:hAnsi="Arial"/>
                <w:sz w:val="16"/>
                <w:szCs w:val="16"/>
                <w:b w:val="1"/>
                <w:bCs w:val="1"/>
                <w:color w:val="1478A3"/>
              </w:rPr>
              <w:t>Name</w:t>
            </w:r>
          </w:p>
        </w:tc>
        <w:tc>
          <w:tcPr>
            <w:tcW w:w="6280" w:type="dxa"/>
            <w:vAlign w:val="bottom"/>
            <w:shd w:val="clear" w:color="auto" w:fill="E3EAEE"/>
          </w:tcPr>
          <w:p>
            <w:pPr>
              <w:ind w:left="1000"/>
              <w:spacing w:after="0"/>
              <w:rPr>
                <w:sz w:val="20"/>
                <w:szCs w:val="20"/>
                <w:color w:val="auto"/>
              </w:rPr>
            </w:pPr>
            <w:r>
              <w:rPr>
                <w:rFonts w:ascii="Arial" w:cs="Arial" w:eastAsia="Arial" w:hAnsi="Arial"/>
                <w:sz w:val="16"/>
                <w:szCs w:val="16"/>
                <w:b w:val="1"/>
                <w:bCs w:val="1"/>
                <w:color w:val="1478A3"/>
              </w:rPr>
              <w:t>Title</w:t>
            </w:r>
          </w:p>
        </w:tc>
      </w:tr>
      <w:tr>
        <w:trPr>
          <w:trHeight w:val="235"/>
        </w:trPr>
        <w:tc>
          <w:tcPr>
            <w:tcW w:w="2960" w:type="dxa"/>
            <w:vAlign w:val="bottom"/>
          </w:tcPr>
          <w:p>
            <w:pPr>
              <w:ind w:left="140"/>
              <w:spacing w:after="0"/>
              <w:rPr>
                <w:sz w:val="20"/>
                <w:szCs w:val="20"/>
                <w:color w:val="auto"/>
              </w:rPr>
            </w:pPr>
            <w:r>
              <w:rPr>
                <w:rFonts w:ascii="Arial" w:cs="Arial" w:eastAsia="Arial" w:hAnsi="Arial"/>
                <w:sz w:val="16"/>
                <w:szCs w:val="16"/>
                <w:color w:val="3E474E"/>
              </w:rPr>
              <w:t>Shawn J. Tibbetts</w:t>
            </w:r>
          </w:p>
        </w:tc>
        <w:tc>
          <w:tcPr>
            <w:tcW w:w="6280" w:type="dxa"/>
            <w:vAlign w:val="bottom"/>
          </w:tcPr>
          <w:p>
            <w:pPr>
              <w:ind w:left="1000"/>
              <w:spacing w:after="0"/>
              <w:rPr>
                <w:sz w:val="20"/>
                <w:szCs w:val="20"/>
                <w:color w:val="auto"/>
              </w:rPr>
            </w:pPr>
            <w:r>
              <w:rPr>
                <w:rFonts w:ascii="Arial" w:cs="Arial" w:eastAsia="Arial" w:hAnsi="Arial"/>
                <w:sz w:val="16"/>
                <w:szCs w:val="16"/>
                <w:color w:val="3E474E"/>
              </w:rPr>
              <w:t>Chairman, Chief Executive Officer and President</w:t>
            </w:r>
          </w:p>
        </w:tc>
      </w:tr>
      <w:tr>
        <w:trPr>
          <w:trHeight w:val="251"/>
        </w:trPr>
        <w:tc>
          <w:tcPr>
            <w:tcW w:w="296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Matthew T. Barnes-Smith</w:t>
            </w:r>
          </w:p>
        </w:tc>
        <w:tc>
          <w:tcPr>
            <w:tcW w:w="6280" w:type="dxa"/>
            <w:vAlign w:val="bottom"/>
            <w:shd w:val="clear" w:color="auto" w:fill="E3EAEE"/>
          </w:tcPr>
          <w:p>
            <w:pPr>
              <w:ind w:left="1000"/>
              <w:spacing w:after="0"/>
              <w:rPr>
                <w:sz w:val="20"/>
                <w:szCs w:val="20"/>
                <w:color w:val="auto"/>
              </w:rPr>
            </w:pPr>
            <w:r>
              <w:rPr>
                <w:rFonts w:ascii="Arial" w:cs="Arial" w:eastAsia="Arial" w:hAnsi="Arial"/>
                <w:sz w:val="16"/>
                <w:szCs w:val="16"/>
                <w:color w:val="3E474E"/>
              </w:rPr>
              <w:t>Chief Financial Officer and Treasurer</w:t>
            </w:r>
          </w:p>
        </w:tc>
      </w:tr>
      <w:tr>
        <w:trPr>
          <w:trHeight w:val="283"/>
        </w:trPr>
        <w:tc>
          <w:tcPr>
            <w:tcW w:w="2960" w:type="dxa"/>
            <w:vAlign w:val="bottom"/>
          </w:tcPr>
          <w:p>
            <w:pPr>
              <w:ind w:left="140"/>
              <w:spacing w:after="0"/>
              <w:rPr>
                <w:sz w:val="20"/>
                <w:szCs w:val="20"/>
                <w:color w:val="auto"/>
              </w:rPr>
            </w:pPr>
            <w:r>
              <w:rPr>
                <w:rFonts w:ascii="Arial" w:cs="Arial" w:eastAsia="Arial" w:hAnsi="Arial"/>
                <w:sz w:val="16"/>
                <w:szCs w:val="16"/>
                <w:color w:val="3E474E"/>
              </w:rPr>
              <w:t>Eric E. Apperson</w:t>
            </w:r>
            <w:r>
              <w:rPr>
                <w:rFonts w:ascii="Arial" w:cs="Arial" w:eastAsia="Arial" w:hAnsi="Arial"/>
                <w:sz w:val="21"/>
                <w:szCs w:val="21"/>
                <w:color w:val="3E474E"/>
                <w:vertAlign w:val="superscript"/>
              </w:rPr>
              <w:t>(1)</w:t>
            </w:r>
          </w:p>
        </w:tc>
        <w:tc>
          <w:tcPr>
            <w:tcW w:w="6280" w:type="dxa"/>
            <w:vAlign w:val="bottom"/>
          </w:tcPr>
          <w:p>
            <w:pPr>
              <w:ind w:left="1000"/>
              <w:spacing w:after="0"/>
              <w:rPr>
                <w:sz w:val="20"/>
                <w:szCs w:val="20"/>
                <w:color w:val="auto"/>
              </w:rPr>
            </w:pPr>
            <w:r>
              <w:rPr>
                <w:rFonts w:ascii="Arial" w:cs="Arial" w:eastAsia="Arial" w:hAnsi="Arial"/>
                <w:sz w:val="16"/>
                <w:szCs w:val="16"/>
                <w:color w:val="3E474E"/>
              </w:rPr>
              <w:t>President of Construction</w:t>
            </w:r>
          </w:p>
        </w:tc>
      </w:tr>
    </w:tbl>
    <w:p>
      <w:pPr>
        <w:ind w:left="160" w:hanging="152"/>
        <w:spacing w:after="0" w:line="219" w:lineRule="auto"/>
        <w:tabs>
          <w:tab w:leader="none" w:pos="160" w:val="left"/>
        </w:tabs>
        <w:numPr>
          <w:ilvl w:val="0"/>
          <w:numId w:val="72"/>
        </w:numPr>
        <w:rPr>
          <w:rFonts w:ascii="Arial" w:cs="Arial" w:eastAsia="Arial" w:hAnsi="Arial"/>
          <w:sz w:val="18"/>
          <w:szCs w:val="18"/>
          <w:color w:val="3E474E"/>
          <w:vertAlign w:val="superscript"/>
        </w:rPr>
      </w:pPr>
      <w:r>
        <w:rPr>
          <w:rFonts w:ascii="Arial" w:cs="Arial" w:eastAsia="Arial" w:hAnsi="Arial"/>
          <w:sz w:val="11"/>
          <w:szCs w:val="11"/>
          <w:color w:val="3E474E"/>
        </w:rPr>
        <w:t>On May 23, 2025, Mr. Apperson was terminated, without cause, from his position as an executive officer of the Company.</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1478A3"/>
        </w:rPr>
        <w:t>Compensation Objectives And Philosophy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3E474E"/>
        </w:rPr>
        <w:t>The Compensation Committee believes that the Company's compensation program for executive officers should:</w:t>
      </w:r>
    </w:p>
    <w:p>
      <w:pPr>
        <w:spacing w:after="0" w:line="248"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6"/>
          <w:szCs w:val="16"/>
          <w:b w:val="1"/>
          <w:bCs w:val="1"/>
          <w:color w:val="3E474E"/>
        </w:rPr>
      </w:pPr>
      <w:r>
        <w:rPr>
          <w:rFonts w:ascii="Arial" w:cs="Arial" w:eastAsia="Arial" w:hAnsi="Arial"/>
          <w:sz w:val="16"/>
          <w:szCs w:val="16"/>
          <w:b w:val="1"/>
          <w:bCs w:val="1"/>
          <w:color w:val="3E474E"/>
        </w:rPr>
        <w:t>attract and retain highly-qualified executives;</w:t>
      </w:r>
    </w:p>
    <w:p>
      <w:pPr>
        <w:spacing w:after="0" w:line="59" w:lineRule="exact"/>
        <w:rPr>
          <w:rFonts w:ascii="Arial" w:cs="Arial" w:eastAsia="Arial" w:hAnsi="Arial"/>
          <w:sz w:val="16"/>
          <w:szCs w:val="16"/>
          <w:b w:val="1"/>
          <w:bCs w:val="1"/>
          <w:color w:val="3E474E"/>
        </w:rPr>
      </w:pPr>
    </w:p>
    <w:p>
      <w:pPr>
        <w:ind w:left="240" w:right="80" w:hanging="232"/>
        <w:spacing w:after="0" w:line="290" w:lineRule="auto"/>
        <w:tabs>
          <w:tab w:leader="none" w:pos="191" w:val="left"/>
        </w:tabs>
        <w:numPr>
          <w:ilvl w:val="0"/>
          <w:numId w:val="73"/>
        </w:numPr>
        <w:rPr>
          <w:rFonts w:ascii="Arial" w:cs="Arial" w:eastAsia="Arial" w:hAnsi="Arial"/>
          <w:sz w:val="16"/>
          <w:szCs w:val="16"/>
          <w:b w:val="1"/>
          <w:bCs w:val="1"/>
          <w:color w:val="3E474E"/>
        </w:rPr>
      </w:pPr>
      <w:r>
        <w:rPr>
          <w:rFonts w:ascii="Arial" w:cs="Arial" w:eastAsia="Arial" w:hAnsi="Arial"/>
          <w:sz w:val="16"/>
          <w:szCs w:val="16"/>
          <w:b w:val="1"/>
          <w:bCs w:val="1"/>
          <w:color w:val="3E474E"/>
        </w:rPr>
        <w:t>motivate these executives to achieve corporate and individual performance objectives and increase stockholder value on an annual and long-term basis;</w:t>
      </w:r>
    </w:p>
    <w:p>
      <w:pPr>
        <w:ind w:left="180" w:hanging="172"/>
        <w:spacing w:after="0"/>
        <w:tabs>
          <w:tab w:leader="none" w:pos="180" w:val="left"/>
        </w:tabs>
        <w:numPr>
          <w:ilvl w:val="0"/>
          <w:numId w:val="73"/>
        </w:numPr>
        <w:rPr>
          <w:rFonts w:ascii="Arial" w:cs="Arial" w:eastAsia="Arial" w:hAnsi="Arial"/>
          <w:sz w:val="16"/>
          <w:szCs w:val="16"/>
          <w:b w:val="1"/>
          <w:bCs w:val="1"/>
          <w:color w:val="3E474E"/>
        </w:rPr>
      </w:pPr>
      <w:r>
        <w:rPr>
          <w:rFonts w:ascii="Arial" w:cs="Arial" w:eastAsia="Arial" w:hAnsi="Arial"/>
          <w:sz w:val="16"/>
          <w:szCs w:val="16"/>
          <w:b w:val="1"/>
          <w:bCs w:val="1"/>
          <w:color w:val="3E474E"/>
        </w:rPr>
        <w:t>achieve an appropriate balance between risk and reward that does not incentivize excessive risk taking; and</w:t>
      </w:r>
    </w:p>
    <w:p>
      <w:pPr>
        <w:spacing w:after="0" w:line="72" w:lineRule="exact"/>
        <w:rPr>
          <w:rFonts w:ascii="Arial" w:cs="Arial" w:eastAsia="Arial" w:hAnsi="Arial"/>
          <w:sz w:val="16"/>
          <w:szCs w:val="16"/>
          <w:b w:val="1"/>
          <w:bCs w:val="1"/>
          <w:color w:val="3E474E"/>
        </w:rPr>
      </w:pPr>
    </w:p>
    <w:p>
      <w:pPr>
        <w:ind w:left="180" w:hanging="172"/>
        <w:spacing w:after="0"/>
        <w:tabs>
          <w:tab w:leader="none" w:pos="180" w:val="left"/>
        </w:tabs>
        <w:numPr>
          <w:ilvl w:val="0"/>
          <w:numId w:val="73"/>
        </w:numPr>
        <w:rPr>
          <w:rFonts w:ascii="Arial" w:cs="Arial" w:eastAsia="Arial" w:hAnsi="Arial"/>
          <w:sz w:val="16"/>
          <w:szCs w:val="16"/>
          <w:b w:val="1"/>
          <w:bCs w:val="1"/>
          <w:color w:val="3E474E"/>
        </w:rPr>
      </w:pPr>
      <w:r>
        <w:rPr>
          <w:rFonts w:ascii="Arial" w:cs="Arial" w:eastAsia="Arial" w:hAnsi="Arial"/>
          <w:sz w:val="16"/>
          <w:szCs w:val="16"/>
          <w:b w:val="1"/>
          <w:bCs w:val="1"/>
          <w:color w:val="3E474E"/>
        </w:rPr>
        <w:t>reinforce business strategies and objectives and drive sustained stockholder value.</w:t>
      </w:r>
    </w:p>
    <w:p>
      <w:pPr>
        <w:spacing w:after="0" w:line="302"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3E474E"/>
        </w:rPr>
        <w:t>The Compensation Committee applied this philosophy in establishing each of the elements of executive compensation for the fiscal year ended December 31, 2025. The Compensation Committee’s goal was to align executive compensation with measurable performance and to compare executive compensation with peers and industry-specific market data.</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3A94BA"/>
        </w:rPr>
        <w:t>Compensation Oversight</w:t>
      </w:r>
    </w:p>
    <w:p>
      <w:pPr>
        <w:spacing w:after="0" w:line="56" w:lineRule="exact"/>
        <w:rPr>
          <w:sz w:val="20"/>
          <w:szCs w:val="20"/>
          <w:color w:val="auto"/>
        </w:rPr>
      </w:pPr>
    </w:p>
    <w:p>
      <w:pPr>
        <w:ind w:left="240" w:hanging="232"/>
        <w:spacing w:after="0" w:line="261" w:lineRule="auto"/>
        <w:tabs>
          <w:tab w:leader="none" w:pos="191" w:val="left"/>
        </w:tabs>
        <w:numPr>
          <w:ilvl w:val="0"/>
          <w:numId w:val="74"/>
        </w:numPr>
        <w:rPr>
          <w:rFonts w:ascii="Arial" w:cs="Arial" w:eastAsia="Arial" w:hAnsi="Arial"/>
          <w:sz w:val="16"/>
          <w:szCs w:val="16"/>
          <w:b w:val="1"/>
          <w:bCs w:val="1"/>
          <w:i w:val="1"/>
          <w:iCs w:val="1"/>
          <w:color w:val="3E474E"/>
        </w:rPr>
      </w:pPr>
      <w:r>
        <w:rPr>
          <w:rFonts w:ascii="Arial" w:cs="Arial" w:eastAsia="Arial" w:hAnsi="Arial"/>
          <w:sz w:val="16"/>
          <w:szCs w:val="16"/>
          <w:b w:val="1"/>
          <w:bCs w:val="1"/>
          <w:color w:val="3E474E"/>
        </w:rPr>
        <w:t>Role of the Compensation Committee</w:t>
      </w:r>
      <w:r>
        <w:rPr>
          <w:rFonts w:ascii="Arial" w:cs="Arial" w:eastAsia="Arial" w:hAnsi="Arial"/>
          <w:sz w:val="16"/>
          <w:szCs w:val="16"/>
          <w:color w:val="3E474E"/>
        </w:rPr>
        <w:t>: The Compensation Committee of the Board, which is comprised entirely of directors who are independent under</w:t>
      </w:r>
      <w:r>
        <w:rPr>
          <w:rFonts w:ascii="Arial" w:cs="Arial" w:eastAsia="Arial" w:hAnsi="Arial"/>
          <w:sz w:val="16"/>
          <w:szCs w:val="16"/>
          <w:b w:val="1"/>
          <w:bCs w:val="1"/>
          <w:color w:val="3E474E"/>
        </w:rPr>
        <w:t xml:space="preserve"> </w:t>
      </w:r>
      <w:r>
        <w:rPr>
          <w:rFonts w:ascii="Arial" w:cs="Arial" w:eastAsia="Arial" w:hAnsi="Arial"/>
          <w:sz w:val="16"/>
          <w:szCs w:val="16"/>
          <w:color w:val="3E474E"/>
        </w:rPr>
        <w:t>the applicable rules of the SEC and the NYSE listing standards, operates under a written charter and is responsible for establishing the terms of the compensation of the Company’s NEOs. The Compensation Committee is responsible for determining and approving our Chief Executive Officer’s compensation and annually reviews corporate goals and objectives related to compensation and evaluates performance related to such goals and objectives. Additionally, the Compensation Committee reviews and approves the compensation of all of our other executive officers, evaluates compensation policies and plans, and implements and administers our incentive compensation equity-based remuneration plans.</w:t>
      </w:r>
    </w:p>
    <w:p>
      <w:pPr>
        <w:spacing w:after="0" w:line="270" w:lineRule="exact"/>
        <w:rPr>
          <w:rFonts w:ascii="Arial" w:cs="Arial" w:eastAsia="Arial" w:hAnsi="Arial"/>
          <w:sz w:val="16"/>
          <w:szCs w:val="16"/>
          <w:b w:val="1"/>
          <w:bCs w:val="1"/>
          <w:i w:val="1"/>
          <w:iCs w:val="1"/>
          <w:color w:val="3E474E"/>
        </w:rPr>
      </w:pPr>
    </w:p>
    <w:p>
      <w:pPr>
        <w:ind w:left="240" w:right="60" w:hanging="232"/>
        <w:spacing w:after="0" w:line="260" w:lineRule="auto"/>
        <w:tabs>
          <w:tab w:leader="none" w:pos="191" w:val="left"/>
        </w:tabs>
        <w:numPr>
          <w:ilvl w:val="0"/>
          <w:numId w:val="74"/>
        </w:numPr>
        <w:rPr>
          <w:rFonts w:ascii="Arial" w:cs="Arial" w:eastAsia="Arial" w:hAnsi="Arial"/>
          <w:sz w:val="16"/>
          <w:szCs w:val="16"/>
          <w:b w:val="1"/>
          <w:bCs w:val="1"/>
          <w:i w:val="1"/>
          <w:iCs w:val="1"/>
          <w:color w:val="3E474E"/>
        </w:rPr>
      </w:pPr>
      <w:r>
        <w:rPr>
          <w:rFonts w:ascii="Arial" w:cs="Arial" w:eastAsia="Arial" w:hAnsi="Arial"/>
          <w:sz w:val="16"/>
          <w:szCs w:val="16"/>
          <w:b w:val="1"/>
          <w:bCs w:val="1"/>
          <w:color w:val="3E474E"/>
        </w:rPr>
        <w:t>Role of the CEO</w:t>
      </w:r>
      <w:r>
        <w:rPr>
          <w:rFonts w:ascii="Arial" w:cs="Arial" w:eastAsia="Arial" w:hAnsi="Arial"/>
          <w:sz w:val="16"/>
          <w:szCs w:val="16"/>
          <w:color w:val="3E474E"/>
        </w:rPr>
        <w:t>: Our Chief Executive Officer plays a significant role in setting compensation for our other executive officers by providing the</w:t>
      </w:r>
      <w:r>
        <w:rPr>
          <w:rFonts w:ascii="Arial" w:cs="Arial" w:eastAsia="Arial" w:hAnsi="Arial"/>
          <w:sz w:val="16"/>
          <w:szCs w:val="16"/>
          <w:b w:val="1"/>
          <w:bCs w:val="1"/>
          <w:color w:val="3E474E"/>
        </w:rPr>
        <w:t xml:space="preserve"> </w:t>
      </w:r>
      <w:r>
        <w:rPr>
          <w:rFonts w:ascii="Arial" w:cs="Arial" w:eastAsia="Arial" w:hAnsi="Arial"/>
          <w:sz w:val="16"/>
          <w:szCs w:val="16"/>
          <w:color w:val="3E474E"/>
        </w:rPr>
        <w:t>Compensation Committee with an evaluation of their performance, together with recommendations for their compensation. Although Mr. Tibbetts was involved in the compensation-setting process, the Compensation Committee and the Board held discussions outside the presence of Mr. Tibbetts, which allowed the Compensation Committee and the Board to independently discuss any and all recommendations as it determined final compensation amounts for our NEOs.</w:t>
      </w:r>
    </w:p>
    <w:p>
      <w:pPr>
        <w:spacing w:after="0" w:line="272" w:lineRule="exact"/>
        <w:rPr>
          <w:rFonts w:ascii="Arial" w:cs="Arial" w:eastAsia="Arial" w:hAnsi="Arial"/>
          <w:sz w:val="16"/>
          <w:szCs w:val="16"/>
          <w:b w:val="1"/>
          <w:bCs w:val="1"/>
          <w:i w:val="1"/>
          <w:iCs w:val="1"/>
          <w:color w:val="3E474E"/>
        </w:rPr>
      </w:pPr>
    </w:p>
    <w:p>
      <w:pPr>
        <w:ind w:left="240" w:right="20" w:hanging="232"/>
        <w:spacing w:after="0" w:line="257" w:lineRule="auto"/>
        <w:tabs>
          <w:tab w:leader="none" w:pos="191" w:val="left"/>
        </w:tabs>
        <w:numPr>
          <w:ilvl w:val="0"/>
          <w:numId w:val="74"/>
        </w:numPr>
        <w:rPr>
          <w:rFonts w:ascii="Arial" w:cs="Arial" w:eastAsia="Arial" w:hAnsi="Arial"/>
          <w:sz w:val="16"/>
          <w:szCs w:val="16"/>
          <w:b w:val="1"/>
          <w:bCs w:val="1"/>
          <w:i w:val="1"/>
          <w:iCs w:val="1"/>
          <w:color w:val="3E474E"/>
        </w:rPr>
      </w:pPr>
      <w:r>
        <w:rPr>
          <w:rFonts w:ascii="Arial" w:cs="Arial" w:eastAsia="Arial" w:hAnsi="Arial"/>
          <w:sz w:val="16"/>
          <w:szCs w:val="16"/>
          <w:b w:val="1"/>
          <w:bCs w:val="1"/>
          <w:color w:val="3E474E"/>
        </w:rPr>
        <w:t>Role of the Compensation Consultant</w:t>
      </w:r>
      <w:r>
        <w:rPr>
          <w:rFonts w:ascii="Arial" w:cs="Arial" w:eastAsia="Arial" w:hAnsi="Arial"/>
          <w:sz w:val="16"/>
          <w:szCs w:val="16"/>
          <w:color w:val="3E474E"/>
        </w:rPr>
        <w:t>: The Compensation Committee has the sole authority to retain and terminate any compensation consultant to be</w:t>
      </w:r>
      <w:r>
        <w:rPr>
          <w:rFonts w:ascii="Arial" w:cs="Arial" w:eastAsia="Arial" w:hAnsi="Arial"/>
          <w:sz w:val="16"/>
          <w:szCs w:val="16"/>
          <w:b w:val="1"/>
          <w:bCs w:val="1"/>
          <w:color w:val="3E474E"/>
        </w:rPr>
        <w:t xml:space="preserve"> </w:t>
      </w:r>
      <w:r>
        <w:rPr>
          <w:rFonts w:ascii="Arial" w:cs="Arial" w:eastAsia="Arial" w:hAnsi="Arial"/>
          <w:sz w:val="16"/>
          <w:szCs w:val="16"/>
          <w:color w:val="3E474E"/>
        </w:rPr>
        <w:t>used to assist in the evaluation of the Chief Executive Officer or other executive officer compensation and to approve such consultant’s fees and other retention terms. In accordance with this authority, the Compensation Committee retained Ferguson Partners as its independent compensation consultant to advise the Compensation Committee on executive officer and director compensation during 2025, including providing industry-specific market data. Ferguson Partners reported directly to the Compensation Committee, and the Compensation Committee is free to replace Ferguson Partners or hire additional consultants from time to time. Ferguson Partners and its affiliates do not provide any other services to us or our affiliates. The Compensation Committee assessed the independence of Ferguson Partners pursuant to SEC and NYSE rules and concluded that no conflict of interest exists that would prevent Ferguson Partners from serving as an independent consultant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953770</wp:posOffset>
            </wp:positionV>
            <wp:extent cx="8255"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953770</wp:posOffset>
            </wp:positionV>
            <wp:extent cx="825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40</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747C83"/>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3A94BA"/>
        </w:rPr>
        <w:t>Stockholder Say-on-pay Vote</w:t>
      </w:r>
    </w:p>
    <w:p>
      <w:pPr>
        <w:spacing w:after="0" w:line="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3E474E"/>
        </w:rPr>
        <w:t>At the 2025 annual meeting of stockholders, the Company's stockholders approved, on a non-binding, advisory basis, the Company's executive compensation plan with an affirmative vote of approximately 98.9% of the votes cast on the matter, which the Company believes reflects strong stockholder support of its executive compensation program. The Compensation Committee is committed to reviewing the results of the advisory say-on-pay vote, market practices, and governance standards on an annual basis and making changes as appropriate.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3A94BA"/>
        </w:rPr>
        <w:t>Peer Group</w:t>
      </w:r>
    </w:p>
    <w:p>
      <w:pPr>
        <w:spacing w:after="0" w:line="56"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3E474E"/>
        </w:rPr>
        <w:t>To evaluate and set total direct compensation, the Compensation Committee utilizes a peer group analysis of total executive compensation for similar positions prepared annually by the Compensation Committee's independent compensation consultant Ferguson Partners.</w:t>
      </w:r>
    </w:p>
    <w:p>
      <w:pPr>
        <w:spacing w:after="0" w:line="19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3E474E"/>
        </w:rPr>
        <w:t>In 2025, following transaction activity in the REIT industry that meaningfully impacted our Peer Group and in consideration of our planned transformation, the Compensation Committee, in partnership with Ferguson Partners, conducted a more holistic review of our Peer Group to best reflect our go-forward structure. In its review the Compensation Committee considered the following selection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1478A3"/>
        </w:rPr>
        <w:t>Peer Group Selection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88" w:lineRule="exact"/>
        <w:rPr>
          <w:sz w:val="20"/>
          <w:szCs w:val="20"/>
          <w:color w:val="auto"/>
        </w:rPr>
      </w:pPr>
    </w:p>
    <w:p>
      <w:pPr>
        <w:ind w:left="140"/>
        <w:spacing w:after="0" w:line="307" w:lineRule="auto"/>
        <w:rPr>
          <w:sz w:val="20"/>
          <w:szCs w:val="20"/>
          <w:color w:val="auto"/>
        </w:rPr>
      </w:pPr>
      <w:r>
        <w:rPr>
          <w:rFonts w:ascii="Arial" w:cs="Arial" w:eastAsia="Arial" w:hAnsi="Arial"/>
          <w:sz w:val="28"/>
          <w:szCs w:val="28"/>
          <w:b w:val="1"/>
          <w:bCs w:val="1"/>
          <w:color w:val="1478A3"/>
        </w:rPr>
        <w:t>Assets/Business Model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3E474E"/>
        </w:rPr>
        <w:t>We are a diversified REIT with high-quality office, retail, and multifamily assets located in mixed-use communities in addition to grocery anchored retail. To best reflect our company dynamics, we considered diversified, retail and/or office REITs, while deemphasizing multifamily REITs in consideration of our planned transitions. We also considered companies in similar transitional periods, growth strategy and depth of management teams to better align with our business profile.</w:t>
      </w:r>
    </w:p>
    <w:p>
      <w:pPr>
        <w:spacing w:after="0" w:line="9" w:lineRule="exact"/>
        <w:rPr>
          <w:sz w:val="20"/>
          <w:szCs w:val="20"/>
          <w:color w:val="auto"/>
        </w:rPr>
      </w:pPr>
    </w:p>
    <w:p>
      <w:pPr>
        <w:sectPr>
          <w:pgSz w:w="11900" w:h="16838" w:orient="portrait"/>
          <w:cols w:equalWidth="0" w:num="2">
            <w:col w:w="2440" w:space="620"/>
            <w:col w:w="8180"/>
          </w:cols>
          <w:pgMar w:left="320" w:top="130" w:right="339" w:bottom="1440" w:gutter="0" w:footer="0" w:header="0"/>
          <w:type w:val="continuous"/>
        </w:sectPr>
      </w:pPr>
    </w:p>
    <w:p>
      <w:pPr>
        <w:ind w:left="140"/>
        <w:spacing w:after="0"/>
        <w:rPr>
          <w:sz w:val="20"/>
          <w:szCs w:val="20"/>
          <w:color w:val="auto"/>
        </w:rPr>
      </w:pPr>
      <w:r>
        <w:rPr>
          <w:rFonts w:ascii="Arial" w:cs="Arial" w:eastAsia="Arial" w:hAnsi="Arial"/>
          <w:sz w:val="29"/>
          <w:szCs w:val="29"/>
          <w:b w:val="1"/>
          <w:bCs w:val="1"/>
          <w:color w:val="1478A3"/>
        </w:rPr>
        <w:t>Size</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1478A3"/>
        </w:rPr>
        <w:t>Parameters</w:t>
      </w:r>
    </w:p>
    <w:p>
      <w:pPr>
        <w:spacing w:after="0" w:line="53" w:lineRule="exact"/>
        <w:rPr>
          <w:sz w:val="20"/>
          <w:szCs w:val="20"/>
          <w:color w:val="auto"/>
        </w:rPr>
      </w:pPr>
    </w:p>
    <w:p>
      <w:pPr>
        <w:ind w:left="140" w:right="600"/>
        <w:spacing w:after="0" w:line="307" w:lineRule="auto"/>
        <w:rPr>
          <w:sz w:val="20"/>
          <w:szCs w:val="20"/>
          <w:color w:val="auto"/>
        </w:rPr>
      </w:pPr>
      <w:r>
        <w:rPr>
          <w:rFonts w:ascii="Arial" w:cs="Arial" w:eastAsia="Arial" w:hAnsi="Arial"/>
          <w:sz w:val="28"/>
          <w:szCs w:val="28"/>
          <w:b w:val="1"/>
          <w:bCs w:val="1"/>
          <w:color w:val="1478A3"/>
        </w:rPr>
        <w:t>Overall Peer Group</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3E474E"/>
        </w:rPr>
        <w:t>At the time the Peer Group was approved, each was an internally-managed REIT with an implied equity market capitalization and/or total enterprise value ranging from approximately 0.4x to 2.5x the size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-380365</wp:posOffset>
            </wp:positionV>
            <wp:extent cx="7132320" cy="4711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471170"/>
                    </a:xfrm>
                    <a:prstGeom prst="rect">
                      <a:avLst/>
                    </a:prstGeom>
                    <a:noFill/>
                  </pic:spPr>
                </pic:pic>
              </a:graphicData>
            </a:graphic>
          </wp:anchor>
        </w:drawing>
      </w:r>
    </w:p>
    <w:p>
      <w:pPr>
        <w:spacing w:after="0" w:line="190" w:lineRule="exact"/>
        <w:rPr>
          <w:sz w:val="20"/>
          <w:szCs w:val="20"/>
          <w:color w:val="auto"/>
        </w:rPr>
      </w:pPr>
    </w:p>
    <w:p>
      <w:pPr>
        <w:ind w:left="40" w:right="80"/>
        <w:spacing w:after="0" w:line="266" w:lineRule="auto"/>
        <w:rPr>
          <w:sz w:val="20"/>
          <w:szCs w:val="20"/>
          <w:color w:val="auto"/>
        </w:rPr>
      </w:pPr>
      <w:r>
        <w:rPr>
          <w:rFonts w:ascii="Arial" w:cs="Arial" w:eastAsia="Arial" w:hAnsi="Arial"/>
          <w:sz w:val="16"/>
          <w:szCs w:val="16"/>
          <w:color w:val="3E474E"/>
        </w:rPr>
        <w:t>The overall composition of the Peer Group is constructed so that the Company approximates the median in terms of size. As of December 31, 2025, the Company’s total enterprise value was $2.4 billion and approximated the median of the Peer Group.</w:t>
      </w:r>
    </w:p>
    <w:p>
      <w:pPr>
        <w:spacing w:after="0" w:line="338" w:lineRule="exact"/>
        <w:rPr>
          <w:sz w:val="20"/>
          <w:szCs w:val="20"/>
          <w:color w:val="auto"/>
        </w:rPr>
      </w:pPr>
    </w:p>
    <w:p>
      <w:pPr>
        <w:sectPr>
          <w:pgSz w:w="11900" w:h="16838" w:orient="portrait"/>
          <w:cols w:equalWidth="0" w:num="2">
            <w:col w:w="2300" w:space="720"/>
            <w:col w:w="8220"/>
          </w:cols>
          <w:pgMar w:left="320" w:top="130" w:right="339" w:bottom="1440" w:gutter="0" w:footer="0" w:header="0"/>
          <w:type w:val="continuous"/>
        </w:sectPr>
      </w:pPr>
    </w:p>
    <w:p>
      <w:pPr>
        <w:spacing w:after="0" w:line="9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3E474E"/>
        </w:rPr>
        <w:t>Based on this review and the selection criteria above, AIMCO, Alexander &amp; Baldwin, Centerspace, and Elme Communities were removed following announced transaction plans and Orion Properties, Inc. was removed as the company’s business profile was less comparable (i.e., net lease REIT structure). The Compensation Committee reviewed potential additions to the Peer Group based on the selection criteria above and identified the following REITs for addition: CBL &amp; Associates Properties, Inc., Curbline Properties Corp., FrontView REIT, Inc., NETSTREIT Corp., Chatham Lodging Trust and Sila Realty Trust, Inc.</w:t>
      </w:r>
    </w:p>
    <w:p>
      <w:pPr>
        <w:spacing w:after="0" w:line="199"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3E474E"/>
        </w:rPr>
        <w:t>The Compensation Committee may change the composition of the peer group from year to year, as it deems appropriate. In determining compensation for our NEOs, the Compensation Committee, in consultation with Ferguson Partners, considered the competitive positioning of our executive compensation levels relative to market data for setting salary, incentive award, and total compensation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41</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color w:val="747C83"/>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743585</wp:posOffset>
            </wp:positionV>
            <wp:extent cx="5134610" cy="4457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346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1478A3"/>
        </w:rPr>
        <w:t>PEER GROUP</w:t>
      </w:r>
    </w:p>
    <w:p>
      <w:pPr>
        <w:spacing w:after="0" w:line="73" w:lineRule="exact"/>
        <w:rPr>
          <w:sz w:val="20"/>
          <w:szCs w:val="20"/>
          <w:color w:val="auto"/>
        </w:rPr>
      </w:pPr>
    </w:p>
    <w:tbl>
      <w:tblPr>
        <w:tblLayout w:type="fixed"/>
        <w:tblInd w:w="158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1478A3"/>
              </w:rPr>
              <w:t>Reviewed for Setting 2025</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1478A3"/>
              </w:rPr>
              <w:t>Reviewed For Setting 2026</w:t>
            </w:r>
          </w:p>
        </w:tc>
      </w:tr>
      <w:tr>
        <w:trPr>
          <w:trHeight w:val="240"/>
        </w:trPr>
        <w:tc>
          <w:tcPr>
            <w:tcW w:w="2720" w:type="dxa"/>
            <w:vAlign w:val="bottom"/>
            <w:tcBorders>
              <w:bottom w:val="single" w:sz="8" w:color="1478A3"/>
            </w:tcBorders>
          </w:tcPr>
          <w:p>
            <w:pPr>
              <w:jc w:val="center"/>
              <w:spacing w:after="0"/>
              <w:rPr>
                <w:sz w:val="20"/>
                <w:szCs w:val="20"/>
                <w:color w:val="auto"/>
              </w:rPr>
            </w:pPr>
            <w:r>
              <w:rPr>
                <w:rFonts w:ascii="Arial" w:cs="Arial" w:eastAsia="Arial" w:hAnsi="Arial"/>
                <w:sz w:val="16"/>
                <w:szCs w:val="16"/>
                <w:b w:val="1"/>
                <w:bCs w:val="1"/>
                <w:color w:val="1478A3"/>
              </w:rPr>
              <w:t>Company Name</w:t>
            </w:r>
          </w:p>
        </w:tc>
        <w:tc>
          <w:tcPr>
            <w:tcW w:w="2660" w:type="dxa"/>
            <w:vAlign w:val="bottom"/>
            <w:tcBorders>
              <w:bottom w:val="single" w:sz="8" w:color="1478A3"/>
            </w:tcBorders>
          </w:tcPr>
          <w:p>
            <w:pPr>
              <w:jc w:val="center"/>
              <w:spacing w:after="0"/>
              <w:rPr>
                <w:sz w:val="20"/>
                <w:szCs w:val="20"/>
                <w:color w:val="auto"/>
              </w:rPr>
            </w:pPr>
            <w:r>
              <w:rPr>
                <w:rFonts w:ascii="Arial" w:cs="Arial" w:eastAsia="Arial" w:hAnsi="Arial"/>
                <w:sz w:val="16"/>
                <w:szCs w:val="16"/>
                <w:b w:val="1"/>
                <w:bCs w:val="1"/>
                <w:color w:val="1478A3"/>
              </w:rPr>
              <w:t>Compensation</w:t>
            </w:r>
          </w:p>
        </w:tc>
        <w:tc>
          <w:tcPr>
            <w:tcW w:w="2720" w:type="dxa"/>
            <w:vAlign w:val="bottom"/>
            <w:tcBorders>
              <w:bottom w:val="single" w:sz="8" w:color="1478A3"/>
            </w:tcBorders>
          </w:tcPr>
          <w:p>
            <w:pPr>
              <w:jc w:val="center"/>
              <w:spacing w:after="0"/>
              <w:rPr>
                <w:sz w:val="20"/>
                <w:szCs w:val="20"/>
                <w:color w:val="auto"/>
              </w:rPr>
            </w:pPr>
            <w:r>
              <w:rPr>
                <w:rFonts w:ascii="Arial" w:cs="Arial" w:eastAsia="Arial" w:hAnsi="Arial"/>
                <w:sz w:val="16"/>
                <w:szCs w:val="16"/>
                <w:b w:val="1"/>
                <w:bCs w:val="1"/>
                <w:color w:val="1478A3"/>
              </w:rPr>
              <w:t>Compensation</w:t>
            </w:r>
          </w:p>
        </w:tc>
      </w:tr>
      <w:tr>
        <w:trPr>
          <w:trHeight w:val="223"/>
        </w:trPr>
        <w:tc>
          <w:tcPr>
            <w:tcW w:w="2720" w:type="dxa"/>
            <w:vAlign w:val="bottom"/>
          </w:tcPr>
          <w:p>
            <w:pPr>
              <w:jc w:val="center"/>
              <w:spacing w:after="0"/>
              <w:rPr>
                <w:sz w:val="20"/>
                <w:szCs w:val="20"/>
                <w:color w:val="auto"/>
              </w:rPr>
            </w:pPr>
            <w:r>
              <w:rPr>
                <w:rFonts w:ascii="Arial" w:cs="Arial" w:eastAsia="Arial" w:hAnsi="Arial"/>
                <w:sz w:val="14"/>
                <w:szCs w:val="14"/>
                <w:color w:val="3E474E"/>
              </w:rPr>
              <w:t>Acadia Realty Trust</w:t>
            </w:r>
          </w:p>
        </w:tc>
        <w:tc>
          <w:tcPr>
            <w:tcW w:w="2660" w:type="dxa"/>
            <w:vAlign w:val="bottom"/>
          </w:tcPr>
          <w:p>
            <w:pPr>
              <w:jc w:val="center"/>
              <w:spacing w:after="0"/>
              <w:rPr>
                <w:sz w:val="20"/>
                <w:szCs w:val="20"/>
                <w:color w:val="auto"/>
              </w:rPr>
            </w:pPr>
            <w:r>
              <w:rPr>
                <w:rFonts w:ascii="Arial" w:cs="Arial" w:eastAsia="Arial" w:hAnsi="Arial"/>
                <w:sz w:val="14"/>
                <w:szCs w:val="14"/>
                <w:color w:val="auto"/>
              </w:rPr>
              <w:t>x</w:t>
            </w:r>
          </w:p>
        </w:tc>
        <w:tc>
          <w:tcPr>
            <w:tcW w:w="27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13"/>
        </w:trPr>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AIMCO</w:t>
            </w:r>
          </w:p>
        </w:tc>
        <w:tc>
          <w:tcPr>
            <w:tcW w:w="266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c>
          <w:tcPr>
            <w:tcW w:w="2720" w:type="dxa"/>
            <w:vAlign w:val="bottom"/>
            <w:tcBorders>
              <w:bottom w:val="single" w:sz="8" w:color="E3EAEE"/>
            </w:tcBorders>
            <w:shd w:val="clear" w:color="auto" w:fill="E3EAEE"/>
          </w:tcPr>
          <w:p>
            <w:pPr>
              <w:spacing w:after="0"/>
              <w:rPr>
                <w:sz w:val="18"/>
                <w:szCs w:val="18"/>
                <w:color w:val="auto"/>
              </w:rPr>
            </w:pPr>
          </w:p>
        </w:tc>
      </w:tr>
      <w:tr>
        <w:trPr>
          <w:trHeight w:val="226"/>
        </w:trPr>
        <w:tc>
          <w:tcPr>
            <w:tcW w:w="2720" w:type="dxa"/>
            <w:vAlign w:val="bottom"/>
          </w:tcPr>
          <w:p>
            <w:pPr>
              <w:jc w:val="center"/>
              <w:spacing w:after="0"/>
              <w:rPr>
                <w:sz w:val="20"/>
                <w:szCs w:val="20"/>
                <w:color w:val="auto"/>
              </w:rPr>
            </w:pPr>
            <w:r>
              <w:rPr>
                <w:rFonts w:ascii="Arial" w:cs="Arial" w:eastAsia="Arial" w:hAnsi="Arial"/>
                <w:sz w:val="14"/>
                <w:szCs w:val="14"/>
                <w:color w:val="3E474E"/>
              </w:rPr>
              <w:t>Alexander &amp; Baldwin, Inc</w:t>
            </w:r>
          </w:p>
        </w:tc>
        <w:tc>
          <w:tcPr>
            <w:tcW w:w="2660" w:type="dxa"/>
            <w:vAlign w:val="bottom"/>
          </w:tcPr>
          <w:p>
            <w:pPr>
              <w:jc w:val="center"/>
              <w:spacing w:after="0"/>
              <w:rPr>
                <w:sz w:val="20"/>
                <w:szCs w:val="20"/>
                <w:color w:val="auto"/>
              </w:rPr>
            </w:pPr>
            <w:r>
              <w:rPr>
                <w:rFonts w:ascii="Arial" w:cs="Arial" w:eastAsia="Arial" w:hAnsi="Arial"/>
                <w:sz w:val="14"/>
                <w:szCs w:val="14"/>
                <w:color w:val="auto"/>
              </w:rPr>
              <w:t>x</w:t>
            </w:r>
          </w:p>
        </w:tc>
        <w:tc>
          <w:tcPr>
            <w:tcW w:w="2720" w:type="dxa"/>
            <w:vAlign w:val="bottom"/>
          </w:tcPr>
          <w:p>
            <w:pPr>
              <w:spacing w:after="0"/>
              <w:rPr>
                <w:sz w:val="19"/>
                <w:szCs w:val="19"/>
                <w:color w:val="auto"/>
              </w:rPr>
            </w:pPr>
          </w:p>
        </w:tc>
      </w:tr>
      <w:tr>
        <w:trPr>
          <w:trHeight w:val="213"/>
        </w:trPr>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American Assets Trust, Inc.</w:t>
            </w:r>
          </w:p>
        </w:tc>
        <w:tc>
          <w:tcPr>
            <w:tcW w:w="266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r>
      <w:tr>
        <w:trPr>
          <w:trHeight w:val="225"/>
        </w:trPr>
        <w:tc>
          <w:tcPr>
            <w:tcW w:w="2720" w:type="dxa"/>
            <w:vAlign w:val="bottom"/>
          </w:tcPr>
          <w:p>
            <w:pPr>
              <w:jc w:val="center"/>
              <w:spacing w:after="0"/>
              <w:rPr>
                <w:sz w:val="20"/>
                <w:szCs w:val="20"/>
                <w:color w:val="auto"/>
              </w:rPr>
            </w:pPr>
            <w:r>
              <w:rPr>
                <w:rFonts w:ascii="Arial" w:cs="Arial" w:eastAsia="Arial" w:hAnsi="Arial"/>
                <w:sz w:val="14"/>
                <w:szCs w:val="14"/>
                <w:color w:val="3E474E"/>
              </w:rPr>
              <w:t>CBL &amp; Associates Properties, Inc.</w:t>
            </w:r>
          </w:p>
        </w:tc>
        <w:tc>
          <w:tcPr>
            <w:tcW w:w="266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14"/>
        </w:trPr>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Centerspace</w:t>
            </w:r>
          </w:p>
        </w:tc>
        <w:tc>
          <w:tcPr>
            <w:tcW w:w="266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c>
          <w:tcPr>
            <w:tcW w:w="2720" w:type="dxa"/>
            <w:vAlign w:val="bottom"/>
            <w:tcBorders>
              <w:bottom w:val="single" w:sz="8" w:color="E3EAEE"/>
            </w:tcBorders>
            <w:shd w:val="clear" w:color="auto" w:fill="E3EAEE"/>
          </w:tcPr>
          <w:p>
            <w:pPr>
              <w:spacing w:after="0"/>
              <w:rPr>
                <w:sz w:val="18"/>
                <w:szCs w:val="18"/>
                <w:color w:val="auto"/>
              </w:rPr>
            </w:pPr>
          </w:p>
        </w:tc>
      </w:tr>
      <w:tr>
        <w:trPr>
          <w:trHeight w:val="225"/>
        </w:trPr>
        <w:tc>
          <w:tcPr>
            <w:tcW w:w="2720" w:type="dxa"/>
            <w:vAlign w:val="bottom"/>
          </w:tcPr>
          <w:p>
            <w:pPr>
              <w:jc w:val="center"/>
              <w:spacing w:after="0"/>
              <w:rPr>
                <w:sz w:val="20"/>
                <w:szCs w:val="20"/>
                <w:color w:val="auto"/>
              </w:rPr>
            </w:pPr>
            <w:r>
              <w:rPr>
                <w:rFonts w:ascii="Arial" w:cs="Arial" w:eastAsia="Arial" w:hAnsi="Arial"/>
                <w:sz w:val="14"/>
                <w:szCs w:val="14"/>
                <w:color w:val="3E474E"/>
              </w:rPr>
              <w:t>Chatham Lodging Trust</w:t>
            </w:r>
          </w:p>
        </w:tc>
        <w:tc>
          <w:tcPr>
            <w:tcW w:w="266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14"/>
        </w:trPr>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CTO Realty Growth, Inc.</w:t>
            </w:r>
          </w:p>
        </w:tc>
        <w:tc>
          <w:tcPr>
            <w:tcW w:w="266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r>
      <w:tr>
        <w:trPr>
          <w:trHeight w:val="225"/>
        </w:trPr>
        <w:tc>
          <w:tcPr>
            <w:tcW w:w="2720" w:type="dxa"/>
            <w:vAlign w:val="bottom"/>
          </w:tcPr>
          <w:p>
            <w:pPr>
              <w:jc w:val="center"/>
              <w:spacing w:after="0"/>
              <w:rPr>
                <w:sz w:val="20"/>
                <w:szCs w:val="20"/>
                <w:color w:val="auto"/>
              </w:rPr>
            </w:pPr>
            <w:r>
              <w:rPr>
                <w:rFonts w:ascii="Arial" w:cs="Arial" w:eastAsia="Arial" w:hAnsi="Arial"/>
                <w:sz w:val="14"/>
                <w:szCs w:val="14"/>
                <w:color w:val="3E474E"/>
              </w:rPr>
              <w:t>Curbline Properties Corp</w:t>
            </w:r>
          </w:p>
        </w:tc>
        <w:tc>
          <w:tcPr>
            <w:tcW w:w="266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13"/>
        </w:trPr>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Elme Communities</w:t>
            </w:r>
          </w:p>
        </w:tc>
        <w:tc>
          <w:tcPr>
            <w:tcW w:w="266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c>
          <w:tcPr>
            <w:tcW w:w="2720" w:type="dxa"/>
            <w:vAlign w:val="bottom"/>
            <w:tcBorders>
              <w:bottom w:val="single" w:sz="8" w:color="E3EAEE"/>
            </w:tcBorders>
            <w:shd w:val="clear" w:color="auto" w:fill="E3EAEE"/>
          </w:tcPr>
          <w:p>
            <w:pPr>
              <w:spacing w:after="0"/>
              <w:rPr>
                <w:sz w:val="18"/>
                <w:szCs w:val="18"/>
                <w:color w:val="auto"/>
              </w:rPr>
            </w:pPr>
          </w:p>
        </w:tc>
      </w:tr>
      <w:tr>
        <w:trPr>
          <w:trHeight w:val="226"/>
        </w:trPr>
        <w:tc>
          <w:tcPr>
            <w:tcW w:w="2720" w:type="dxa"/>
            <w:vAlign w:val="bottom"/>
          </w:tcPr>
          <w:p>
            <w:pPr>
              <w:jc w:val="center"/>
              <w:spacing w:after="0"/>
              <w:rPr>
                <w:sz w:val="20"/>
                <w:szCs w:val="20"/>
                <w:color w:val="auto"/>
              </w:rPr>
            </w:pPr>
            <w:r>
              <w:rPr>
                <w:rFonts w:ascii="Arial" w:cs="Arial" w:eastAsia="Arial" w:hAnsi="Arial"/>
                <w:sz w:val="14"/>
                <w:szCs w:val="14"/>
                <w:color w:val="3E474E"/>
              </w:rPr>
              <w:t>FrontView REIT, Inc.</w:t>
            </w:r>
          </w:p>
        </w:tc>
        <w:tc>
          <w:tcPr>
            <w:tcW w:w="266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13"/>
        </w:trPr>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Inventrust Properties Corp.</w:t>
            </w:r>
          </w:p>
        </w:tc>
        <w:tc>
          <w:tcPr>
            <w:tcW w:w="266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r>
      <w:tr>
        <w:trPr>
          <w:trHeight w:val="226"/>
        </w:trPr>
        <w:tc>
          <w:tcPr>
            <w:tcW w:w="2720" w:type="dxa"/>
            <w:vAlign w:val="bottom"/>
          </w:tcPr>
          <w:p>
            <w:pPr>
              <w:jc w:val="center"/>
              <w:spacing w:after="0"/>
              <w:rPr>
                <w:sz w:val="20"/>
                <w:szCs w:val="20"/>
                <w:color w:val="auto"/>
              </w:rPr>
            </w:pPr>
            <w:r>
              <w:rPr>
                <w:rFonts w:ascii="Arial" w:cs="Arial" w:eastAsia="Arial" w:hAnsi="Arial"/>
                <w:sz w:val="14"/>
                <w:szCs w:val="14"/>
                <w:color w:val="3E474E"/>
              </w:rPr>
              <w:t>JBG Smith Properties</w:t>
            </w:r>
          </w:p>
        </w:tc>
        <w:tc>
          <w:tcPr>
            <w:tcW w:w="2660" w:type="dxa"/>
            <w:vAlign w:val="bottom"/>
          </w:tcPr>
          <w:p>
            <w:pPr>
              <w:jc w:val="center"/>
              <w:spacing w:after="0"/>
              <w:rPr>
                <w:sz w:val="20"/>
                <w:szCs w:val="20"/>
                <w:color w:val="auto"/>
              </w:rPr>
            </w:pPr>
            <w:r>
              <w:rPr>
                <w:rFonts w:ascii="Arial" w:cs="Arial" w:eastAsia="Arial" w:hAnsi="Arial"/>
                <w:sz w:val="14"/>
                <w:szCs w:val="14"/>
                <w:color w:val="auto"/>
              </w:rPr>
              <w:t>x</w:t>
            </w:r>
          </w:p>
        </w:tc>
        <w:tc>
          <w:tcPr>
            <w:tcW w:w="27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13"/>
        </w:trPr>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NETSTREIT Corp.</w:t>
            </w:r>
          </w:p>
        </w:tc>
        <w:tc>
          <w:tcPr>
            <w:tcW w:w="2660" w:type="dxa"/>
            <w:vAlign w:val="bottom"/>
            <w:tcBorders>
              <w:bottom w:val="single" w:sz="8" w:color="E3EAEE"/>
            </w:tcBorders>
            <w:shd w:val="clear" w:color="auto" w:fill="E3EAEE"/>
          </w:tcPr>
          <w:p>
            <w:pPr>
              <w:spacing w:after="0"/>
              <w:rPr>
                <w:sz w:val="18"/>
                <w:szCs w:val="18"/>
                <w:color w:val="auto"/>
              </w:rPr>
            </w:pPr>
          </w:p>
        </w:tc>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r>
      <w:tr>
        <w:trPr>
          <w:trHeight w:val="225"/>
        </w:trPr>
        <w:tc>
          <w:tcPr>
            <w:tcW w:w="2720" w:type="dxa"/>
            <w:vAlign w:val="bottom"/>
          </w:tcPr>
          <w:p>
            <w:pPr>
              <w:jc w:val="center"/>
              <w:spacing w:after="0"/>
              <w:rPr>
                <w:sz w:val="20"/>
                <w:szCs w:val="20"/>
                <w:color w:val="auto"/>
              </w:rPr>
            </w:pPr>
            <w:r>
              <w:rPr>
                <w:rFonts w:ascii="Arial" w:cs="Arial" w:eastAsia="Arial" w:hAnsi="Arial"/>
                <w:sz w:val="14"/>
                <w:szCs w:val="14"/>
                <w:color w:val="3E474E"/>
              </w:rPr>
              <w:t>Orion Properties Inc.</w:t>
            </w:r>
          </w:p>
        </w:tc>
        <w:tc>
          <w:tcPr>
            <w:tcW w:w="2660" w:type="dxa"/>
            <w:vAlign w:val="bottom"/>
          </w:tcPr>
          <w:p>
            <w:pPr>
              <w:jc w:val="center"/>
              <w:spacing w:after="0"/>
              <w:rPr>
                <w:sz w:val="20"/>
                <w:szCs w:val="20"/>
                <w:color w:val="auto"/>
              </w:rPr>
            </w:pPr>
            <w:r>
              <w:rPr>
                <w:rFonts w:ascii="Arial" w:cs="Arial" w:eastAsia="Arial" w:hAnsi="Arial"/>
                <w:sz w:val="14"/>
                <w:szCs w:val="14"/>
                <w:color w:val="auto"/>
              </w:rPr>
              <w:t>x</w:t>
            </w:r>
          </w:p>
        </w:tc>
        <w:tc>
          <w:tcPr>
            <w:tcW w:w="2720" w:type="dxa"/>
            <w:vAlign w:val="bottom"/>
          </w:tcPr>
          <w:p>
            <w:pPr>
              <w:spacing w:after="0"/>
              <w:rPr>
                <w:sz w:val="19"/>
                <w:szCs w:val="19"/>
                <w:color w:val="auto"/>
              </w:rPr>
            </w:pPr>
          </w:p>
        </w:tc>
      </w:tr>
      <w:tr>
        <w:trPr>
          <w:trHeight w:val="214"/>
        </w:trPr>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Piedmont Realty Trust, Inc.</w:t>
            </w:r>
          </w:p>
        </w:tc>
        <w:tc>
          <w:tcPr>
            <w:tcW w:w="266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c>
          <w:tcPr>
            <w:tcW w:w="272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4"/>
                <w:szCs w:val="14"/>
                <w:color w:val="3E474E"/>
              </w:rPr>
              <w:t>x</w:t>
            </w:r>
          </w:p>
        </w:tc>
      </w:tr>
      <w:tr>
        <w:trPr>
          <w:trHeight w:val="225"/>
        </w:trPr>
        <w:tc>
          <w:tcPr>
            <w:tcW w:w="2720" w:type="dxa"/>
            <w:vAlign w:val="bottom"/>
          </w:tcPr>
          <w:p>
            <w:pPr>
              <w:jc w:val="center"/>
              <w:spacing w:after="0"/>
              <w:rPr>
                <w:sz w:val="20"/>
                <w:szCs w:val="20"/>
                <w:color w:val="auto"/>
              </w:rPr>
            </w:pPr>
            <w:r>
              <w:rPr>
                <w:rFonts w:ascii="Arial" w:cs="Arial" w:eastAsia="Arial" w:hAnsi="Arial"/>
                <w:sz w:val="14"/>
                <w:szCs w:val="14"/>
                <w:color w:val="3E474E"/>
              </w:rPr>
              <w:t>Sila Realty Trust, Inc.</w:t>
            </w:r>
          </w:p>
        </w:tc>
        <w:tc>
          <w:tcPr>
            <w:tcW w:w="266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12"/>
        </w:trPr>
        <w:tc>
          <w:tcPr>
            <w:tcW w:w="2720" w:type="dxa"/>
            <w:vAlign w:val="bottom"/>
            <w:shd w:val="clear" w:color="auto" w:fill="E3EAEE"/>
          </w:tcPr>
          <w:p>
            <w:pPr>
              <w:jc w:val="center"/>
              <w:spacing w:after="0"/>
              <w:rPr>
                <w:sz w:val="20"/>
                <w:szCs w:val="20"/>
                <w:color w:val="auto"/>
              </w:rPr>
            </w:pPr>
            <w:r>
              <w:rPr>
                <w:rFonts w:ascii="Arial" w:cs="Arial" w:eastAsia="Arial" w:hAnsi="Arial"/>
                <w:sz w:val="14"/>
                <w:szCs w:val="14"/>
                <w:color w:val="3E474E"/>
              </w:rPr>
              <w:t>Whitestone REIT</w:t>
            </w:r>
          </w:p>
        </w:tc>
        <w:tc>
          <w:tcPr>
            <w:tcW w:w="2660" w:type="dxa"/>
            <w:vAlign w:val="bottom"/>
            <w:shd w:val="clear" w:color="auto" w:fill="E3EAEE"/>
          </w:tcPr>
          <w:p>
            <w:pPr>
              <w:jc w:val="center"/>
              <w:spacing w:after="0"/>
              <w:rPr>
                <w:sz w:val="20"/>
                <w:szCs w:val="20"/>
                <w:color w:val="auto"/>
              </w:rPr>
            </w:pPr>
            <w:r>
              <w:rPr>
                <w:rFonts w:ascii="Arial" w:cs="Arial" w:eastAsia="Arial" w:hAnsi="Arial"/>
                <w:sz w:val="14"/>
                <w:szCs w:val="14"/>
                <w:color w:val="3E474E"/>
              </w:rPr>
              <w:t>x</w:t>
            </w:r>
          </w:p>
        </w:tc>
        <w:tc>
          <w:tcPr>
            <w:tcW w:w="2720" w:type="dxa"/>
            <w:vAlign w:val="bottom"/>
            <w:shd w:val="clear" w:color="auto" w:fill="E3EAEE"/>
          </w:tcPr>
          <w:p>
            <w:pPr>
              <w:jc w:val="center"/>
              <w:spacing w:after="0"/>
              <w:rPr>
                <w:sz w:val="20"/>
                <w:szCs w:val="20"/>
                <w:color w:val="auto"/>
              </w:rPr>
            </w:pPr>
            <w:r>
              <w:rPr>
                <w:rFonts w:ascii="Arial" w:cs="Arial" w:eastAsia="Arial" w:hAnsi="Arial"/>
                <w:sz w:val="14"/>
                <w:szCs w:val="14"/>
                <w:color w:val="3E474E"/>
              </w:rPr>
              <w:t>x</w:t>
            </w:r>
          </w:p>
        </w:tc>
      </w:tr>
      <w:tr>
        <w:trPr>
          <w:trHeight w:val="22"/>
        </w:trPr>
        <w:tc>
          <w:tcPr>
            <w:tcW w:w="2720" w:type="dxa"/>
            <w:vAlign w:val="bottom"/>
            <w:shd w:val="clear" w:color="auto" w:fill="E3EAEE"/>
          </w:tcPr>
          <w:p>
            <w:pPr>
              <w:spacing w:after="0" w:line="20" w:lineRule="exact"/>
              <w:rPr>
                <w:sz w:val="1"/>
                <w:szCs w:val="1"/>
                <w:color w:val="auto"/>
              </w:rPr>
            </w:pPr>
          </w:p>
        </w:tc>
        <w:tc>
          <w:tcPr>
            <w:tcW w:w="2660" w:type="dxa"/>
            <w:vAlign w:val="bottom"/>
            <w:shd w:val="clear" w:color="auto" w:fill="E3EAEE"/>
          </w:tcPr>
          <w:p>
            <w:pPr>
              <w:spacing w:after="0" w:line="20" w:lineRule="exact"/>
              <w:rPr>
                <w:sz w:val="1"/>
                <w:szCs w:val="1"/>
                <w:color w:val="auto"/>
              </w:rPr>
            </w:pPr>
          </w:p>
        </w:tc>
        <w:tc>
          <w:tcPr>
            <w:tcW w:w="2720" w:type="dxa"/>
            <w:vAlign w:val="bottom"/>
            <w:shd w:val="clear" w:color="auto" w:fill="E3EAEE"/>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1478A3"/>
        </w:rPr>
        <w:t>2025 Compensation Perspective: Program Changes and Target Pay Opportunity</w:t>
      </w:r>
    </w:p>
    <w:p>
      <w:pPr>
        <w:spacing w:after="0" w:line="56" w:lineRule="exact"/>
        <w:rPr>
          <w:sz w:val="20"/>
          <w:szCs w:val="20"/>
          <w:color w:val="auto"/>
        </w:rPr>
      </w:pPr>
    </w:p>
    <w:p>
      <w:pPr>
        <w:spacing w:after="0" w:line="202" w:lineRule="exact"/>
        <w:rPr>
          <w:sz w:val="20"/>
          <w:szCs w:val="20"/>
          <w:color w:val="auto"/>
        </w:rPr>
      </w:pPr>
      <w:r>
        <w:rPr>
          <w:rFonts w:ascii="Arial" w:cs="Arial" w:eastAsia="Arial" w:hAnsi="Arial"/>
          <w:sz w:val="16"/>
          <w:szCs w:val="16"/>
          <w:color w:val="3E474E"/>
        </w:rPr>
        <w:t>In connection with the Company’s succession planning and leadership transition in 2025, the Compensation Committee undertook a comprehensive review of the compensation program to place greater emphasis on equity</w:t>
      </w:r>
      <w:r>
        <w:rPr>
          <w:rFonts w:ascii="MS PGothic" w:cs="MS PGothic" w:eastAsia="MS PGothic" w:hAnsi="MS PGothic"/>
          <w:sz w:val="16"/>
          <w:szCs w:val="16"/>
          <w:color w:val="3E474E"/>
        </w:rPr>
        <w:t>‑</w:t>
      </w:r>
      <w:r>
        <w:rPr>
          <w:rFonts w:ascii="Arial" w:cs="Arial" w:eastAsia="Arial" w:hAnsi="Arial"/>
          <w:sz w:val="16"/>
          <w:szCs w:val="16"/>
          <w:color w:val="3E474E"/>
        </w:rPr>
        <w:t>based compensation and strengthen performance alignment, with the goal of more closely aligning executive compensation outcomes with stockholder interests and to drive and reward growth.</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3E474E"/>
        </w:rPr>
        <w:t>The following summarizes the program enhancement made in 2025:</w:t>
      </w:r>
    </w:p>
    <w:p>
      <w:pPr>
        <w:spacing w:after="0" w:line="248" w:lineRule="exact"/>
        <w:rPr>
          <w:sz w:val="20"/>
          <w:szCs w:val="20"/>
          <w:color w:val="auto"/>
        </w:rPr>
      </w:pPr>
    </w:p>
    <w:p>
      <w:pPr>
        <w:ind w:left="660" w:right="200" w:hanging="328"/>
        <w:spacing w:after="0" w:line="304" w:lineRule="auto"/>
        <w:tabs>
          <w:tab w:leader="none" w:pos="609" w:val="left"/>
        </w:tabs>
        <w:numPr>
          <w:ilvl w:val="0"/>
          <w:numId w:val="75"/>
        </w:numPr>
        <w:rPr>
          <w:rFonts w:ascii="Arial" w:cs="Arial" w:eastAsia="Arial" w:hAnsi="Arial"/>
          <w:sz w:val="16"/>
          <w:szCs w:val="16"/>
          <w:color w:val="3E474E"/>
        </w:rPr>
      </w:pPr>
      <w:r>
        <w:rPr>
          <w:rFonts w:ascii="Arial" w:cs="Arial" w:eastAsia="Arial" w:hAnsi="Arial"/>
          <w:sz w:val="16"/>
          <w:szCs w:val="16"/>
          <w:color w:val="3E474E"/>
        </w:rPr>
        <w:t>Provided market-based adjustments to target compensation levels for our newly appointed CEO and CFO. Following these adjustments, our CEO and CFO’s compensation continues to be below the median of our Peer Group.</w:t>
      </w:r>
    </w:p>
    <w:p>
      <w:pPr>
        <w:spacing w:after="0" w:line="168" w:lineRule="exact"/>
        <w:rPr>
          <w:rFonts w:ascii="Arial" w:cs="Arial" w:eastAsia="Arial" w:hAnsi="Arial"/>
          <w:sz w:val="16"/>
          <w:szCs w:val="16"/>
          <w:color w:val="3E474E"/>
        </w:rPr>
      </w:pPr>
    </w:p>
    <w:p>
      <w:pPr>
        <w:ind w:left="660" w:right="520" w:hanging="328"/>
        <w:spacing w:after="0" w:line="304" w:lineRule="auto"/>
        <w:tabs>
          <w:tab w:leader="none" w:pos="609" w:val="left"/>
        </w:tabs>
        <w:numPr>
          <w:ilvl w:val="0"/>
          <w:numId w:val="75"/>
        </w:numPr>
        <w:rPr>
          <w:rFonts w:ascii="Arial" w:cs="Arial" w:eastAsia="Arial" w:hAnsi="Arial"/>
          <w:sz w:val="16"/>
          <w:szCs w:val="16"/>
          <w:color w:val="3E474E"/>
        </w:rPr>
      </w:pPr>
      <w:r>
        <w:rPr>
          <w:rFonts w:ascii="Arial" w:cs="Arial" w:eastAsia="Arial" w:hAnsi="Arial"/>
          <w:sz w:val="16"/>
          <w:szCs w:val="16"/>
          <w:color w:val="3E474E"/>
        </w:rPr>
        <w:t>Diversified our short-term incentive program to include additional goals tied to our near-term priorities and recalibrated payout opportunities at threshold and target to be more aligned with prevailing market practice</w:t>
      </w:r>
    </w:p>
    <w:p>
      <w:pPr>
        <w:spacing w:after="0" w:line="168" w:lineRule="exact"/>
        <w:rPr>
          <w:rFonts w:ascii="Arial" w:cs="Arial" w:eastAsia="Arial" w:hAnsi="Arial"/>
          <w:sz w:val="16"/>
          <w:szCs w:val="16"/>
          <w:color w:val="3E474E"/>
        </w:rPr>
      </w:pPr>
    </w:p>
    <w:p>
      <w:pPr>
        <w:ind w:left="660" w:right="120" w:hanging="328"/>
        <w:spacing w:after="0" w:line="286" w:lineRule="auto"/>
        <w:tabs>
          <w:tab w:leader="none" w:pos="609" w:val="left"/>
        </w:tabs>
        <w:numPr>
          <w:ilvl w:val="0"/>
          <w:numId w:val="75"/>
        </w:numPr>
        <w:rPr>
          <w:rFonts w:ascii="Arial" w:cs="Arial" w:eastAsia="Arial" w:hAnsi="Arial"/>
          <w:sz w:val="16"/>
          <w:szCs w:val="16"/>
          <w:color w:val="3E474E"/>
        </w:rPr>
      </w:pPr>
      <w:r>
        <w:rPr>
          <w:rFonts w:ascii="Arial" w:cs="Arial" w:eastAsia="Arial" w:hAnsi="Arial"/>
          <w:sz w:val="16"/>
          <w:szCs w:val="16"/>
          <w:color w:val="3E474E"/>
        </w:rPr>
        <w:t>Adopted a standalone long-term incentive program that includes both time-vesting awards and performance-vesting awards that are only earned to the extent that 3-year relative TSR hurdles are achieved</w:t>
      </w:r>
    </w:p>
    <w:p>
      <w:pPr>
        <w:spacing w:after="0" w:line="196" w:lineRule="exact"/>
        <w:rPr>
          <w:rFonts w:ascii="Arial" w:cs="Arial" w:eastAsia="Arial" w:hAnsi="Arial"/>
          <w:sz w:val="16"/>
          <w:szCs w:val="16"/>
          <w:color w:val="3E474E"/>
        </w:rPr>
      </w:pPr>
    </w:p>
    <w:p>
      <w:pPr>
        <w:ind w:left="660" w:right="400" w:hanging="328"/>
        <w:spacing w:after="0" w:line="286" w:lineRule="auto"/>
        <w:tabs>
          <w:tab w:leader="none" w:pos="609" w:val="left"/>
        </w:tabs>
        <w:numPr>
          <w:ilvl w:val="0"/>
          <w:numId w:val="75"/>
        </w:numPr>
        <w:rPr>
          <w:rFonts w:ascii="Arial" w:cs="Arial" w:eastAsia="Arial" w:hAnsi="Arial"/>
          <w:sz w:val="16"/>
          <w:szCs w:val="16"/>
          <w:color w:val="3E474E"/>
        </w:rPr>
      </w:pPr>
      <w:r>
        <w:rPr>
          <w:rFonts w:ascii="Arial" w:cs="Arial" w:eastAsia="Arial" w:hAnsi="Arial"/>
          <w:sz w:val="16"/>
          <w:szCs w:val="16"/>
          <w:color w:val="3E474E"/>
        </w:rPr>
        <w:t>Approved a differentiated special one-time equity award program that is 100% performance-based and tied to the achievement of rigorous total stockholder returns and total enterprise value growth over a long-term 5-year performance period</w:t>
      </w:r>
    </w:p>
    <w:p>
      <w:pPr>
        <w:spacing w:after="0" w:line="196"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3E474E"/>
        </w:rPr>
        <w:t>As a result of these changes, reported compensation for 2025 appears higher than in prior years due to the fact that the Summary Compensation Table includes (1) the backward-looking equity awards granted in arrears for 2024 performance, (ii) the forward-looking equity awards granted on a prospective basis for 2025 services, and (iii) the grant date fair value of the one-time special performance-based equity award.</w:t>
      </w:r>
    </w:p>
    <w:p>
      <w:pPr>
        <w:spacing w:after="0" w:line="21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3E474E"/>
        </w:rPr>
        <w:t>The graphs below summarized the designed allocation of our 2025 target compensation opportunity for our NEOs, based on three primary components of our NEO compensation program: base salary, short-term incentive plan and long-term incentive plan (excluding the value of the one-time equity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42</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747C83"/>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6172200" cy="19634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7220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1478A3"/>
        </w:rPr>
        <w:t>Components Of Compensation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BASE SALARIES</w:t>
      </w:r>
    </w:p>
    <w:p>
      <w:pPr>
        <w:spacing w:after="0" w:line="11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3E474E"/>
        </w:rPr>
        <w:t>Base salary is intended to attract and retain executive officers based on the scope and complexity of the role and responsibilities, fairness (e.g., employees with similar responsibilities, experience and historical performance are rewarded comparably), and individual performance. The Compensation Committee reviews base salaries annually and makes adjustments to be competitive with market salary levels or to recognize an executive officer’s professional growth and development or increased responsibility within the Company.</w:t>
      </w:r>
    </w:p>
    <w:p>
      <w:pPr>
        <w:spacing w:after="0" w:line="21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3E474E"/>
        </w:rPr>
        <w:t>In February 2025, the Compensation Committee approved the following base salaries for our NEOs, which for Mr. Tibbetts and Mr. Barnes-Smith, included market-based adjustments in consideration of their expanded roles and responsibilities in addition other factors including internal equity and individual performance.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60" w:type="dxa"/>
            <w:vAlign w:val="bottom"/>
            <w:shd w:val="clear" w:color="auto" w:fill="E3EAEE"/>
          </w:tcPr>
          <w:p>
            <w:pPr>
              <w:spacing w:after="0"/>
              <w:rPr>
                <w:sz w:val="17"/>
                <w:szCs w:val="17"/>
                <w:color w:val="auto"/>
              </w:rPr>
            </w:pPr>
          </w:p>
        </w:tc>
        <w:tc>
          <w:tcPr>
            <w:tcW w:w="3000" w:type="dxa"/>
            <w:vAlign w:val="bottom"/>
            <w:shd w:val="clear" w:color="auto" w:fill="E3EAEE"/>
          </w:tcPr>
          <w:p>
            <w:pPr>
              <w:jc w:val="right"/>
              <w:ind w:right="99"/>
              <w:spacing w:after="0"/>
              <w:rPr>
                <w:sz w:val="20"/>
                <w:szCs w:val="20"/>
                <w:color w:val="auto"/>
              </w:rPr>
            </w:pPr>
            <w:r>
              <w:rPr>
                <w:rFonts w:ascii="Arial" w:cs="Arial" w:eastAsia="Arial" w:hAnsi="Arial"/>
                <w:sz w:val="16"/>
                <w:szCs w:val="16"/>
                <w:b w:val="1"/>
                <w:bCs w:val="1"/>
                <w:color w:val="1478A3"/>
              </w:rPr>
              <w:t>2025 Base Salary</w:t>
            </w:r>
          </w:p>
        </w:tc>
      </w:tr>
      <w:tr>
        <w:trPr>
          <w:trHeight w:val="236"/>
        </w:trPr>
        <w:tc>
          <w:tcPr>
            <w:tcW w:w="8060" w:type="dxa"/>
            <w:vAlign w:val="bottom"/>
            <w:shd w:val="clear" w:color="auto" w:fill="E3EAEE"/>
          </w:tcPr>
          <w:p>
            <w:pPr>
              <w:ind w:left="140"/>
              <w:spacing w:after="0"/>
              <w:rPr>
                <w:sz w:val="20"/>
                <w:szCs w:val="20"/>
                <w:color w:val="auto"/>
              </w:rPr>
            </w:pPr>
            <w:r>
              <w:rPr>
                <w:rFonts w:ascii="Arial" w:cs="Arial" w:eastAsia="Arial" w:hAnsi="Arial"/>
                <w:sz w:val="16"/>
                <w:szCs w:val="16"/>
                <w:b w:val="1"/>
                <w:bCs w:val="1"/>
                <w:color w:val="1478A3"/>
              </w:rPr>
              <w:t>Name</w:t>
            </w:r>
          </w:p>
        </w:tc>
        <w:tc>
          <w:tcPr>
            <w:tcW w:w="3000" w:type="dxa"/>
            <w:vAlign w:val="bottom"/>
            <w:shd w:val="clear" w:color="auto" w:fill="E3EAEE"/>
          </w:tcPr>
          <w:p>
            <w:pPr>
              <w:jc w:val="right"/>
              <w:ind w:right="99"/>
              <w:spacing w:after="0"/>
              <w:rPr>
                <w:sz w:val="20"/>
                <w:szCs w:val="20"/>
                <w:color w:val="auto"/>
              </w:rPr>
            </w:pPr>
            <w:r>
              <w:rPr>
                <w:rFonts w:ascii="Arial" w:cs="Arial" w:eastAsia="Arial" w:hAnsi="Arial"/>
                <w:sz w:val="16"/>
                <w:szCs w:val="16"/>
                <w:b w:val="1"/>
                <w:bCs w:val="1"/>
                <w:color w:val="1478A3"/>
              </w:rPr>
              <w:t>($)</w:t>
            </w:r>
          </w:p>
        </w:tc>
      </w:tr>
      <w:tr>
        <w:trPr>
          <w:trHeight w:val="62"/>
        </w:trPr>
        <w:tc>
          <w:tcPr>
            <w:tcW w:w="8060" w:type="dxa"/>
            <w:vAlign w:val="bottom"/>
            <w:tcBorders>
              <w:bottom w:val="single" w:sz="8" w:color="007AA7"/>
            </w:tcBorders>
            <w:shd w:val="clear" w:color="auto" w:fill="E3EAEE"/>
          </w:tcPr>
          <w:p>
            <w:pPr>
              <w:spacing w:after="0"/>
              <w:rPr>
                <w:sz w:val="5"/>
                <w:szCs w:val="5"/>
                <w:color w:val="auto"/>
              </w:rPr>
            </w:pPr>
          </w:p>
        </w:tc>
        <w:tc>
          <w:tcPr>
            <w:tcW w:w="3000" w:type="dxa"/>
            <w:vAlign w:val="bottom"/>
            <w:tcBorders>
              <w:bottom w:val="single" w:sz="8" w:color="007AA7"/>
            </w:tcBorders>
            <w:shd w:val="clear" w:color="auto" w:fill="E3EAEE"/>
          </w:tcPr>
          <w:p>
            <w:pPr>
              <w:spacing w:after="0"/>
              <w:rPr>
                <w:sz w:val="5"/>
                <w:szCs w:val="5"/>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6"/>
                <w:szCs w:val="16"/>
                <w:color w:val="3E474E"/>
              </w:rPr>
              <w:t>Shawn J. Tibbetts</w:t>
            </w:r>
          </w:p>
        </w:tc>
        <w:tc>
          <w:tcPr>
            <w:tcW w:w="3000" w:type="dxa"/>
            <w:vAlign w:val="bottom"/>
          </w:tcPr>
          <w:p>
            <w:pPr>
              <w:jc w:val="right"/>
              <w:ind w:right="159"/>
              <w:spacing w:after="0"/>
              <w:rPr>
                <w:sz w:val="20"/>
                <w:szCs w:val="20"/>
                <w:color w:val="auto"/>
              </w:rPr>
            </w:pPr>
            <w:r>
              <w:rPr>
                <w:rFonts w:ascii="Arial" w:cs="Arial" w:eastAsia="Arial" w:hAnsi="Arial"/>
                <w:sz w:val="16"/>
                <w:szCs w:val="16"/>
                <w:color w:val="3E474E"/>
              </w:rPr>
              <w:t>672,385</w:t>
            </w:r>
          </w:p>
        </w:tc>
      </w:tr>
      <w:tr>
        <w:trPr>
          <w:trHeight w:val="251"/>
        </w:trPr>
        <w:tc>
          <w:tcPr>
            <w:tcW w:w="806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Matthew T. Barnes-Smith</w:t>
            </w:r>
          </w:p>
        </w:tc>
        <w:tc>
          <w:tcPr>
            <w:tcW w:w="3000" w:type="dxa"/>
            <w:vAlign w:val="bottom"/>
            <w:shd w:val="clear" w:color="auto" w:fill="E3EAEE"/>
          </w:tcPr>
          <w:p>
            <w:pPr>
              <w:jc w:val="right"/>
              <w:ind w:right="159"/>
              <w:spacing w:after="0"/>
              <w:rPr>
                <w:sz w:val="20"/>
                <w:szCs w:val="20"/>
                <w:color w:val="auto"/>
              </w:rPr>
            </w:pPr>
            <w:r>
              <w:rPr>
                <w:rFonts w:ascii="Arial" w:cs="Arial" w:eastAsia="Arial" w:hAnsi="Arial"/>
                <w:sz w:val="16"/>
                <w:szCs w:val="16"/>
                <w:color w:val="3E474E"/>
              </w:rPr>
              <w:t>419,713</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2025 SHORT-TERM INCENTIVE PLAN</w:t>
      </w:r>
    </w:p>
    <w:p>
      <w:pPr>
        <w:spacing w:after="0" w:line="113"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3E474E"/>
        </w:rPr>
        <w:t>Our short-term incentive plan is designed to motivate and reward our NEOs to achieve critical short-term financial goals and is settled 100% in cash. The 2025 short-term incentive plan (the "2025 STIP") included a broader set of metrics and continued to be tied predominantly to objective financial and operational goals, as in prior years, to ensure that payouts are tied directly to measurable Company performance. In 2025, Messrs. Tibbetts and Barnes-Smith were eligible to participate in the 2025 STIP.</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60" w:type="dxa"/>
            <w:vAlign w:val="bottom"/>
            <w:tcBorders>
              <w:bottom w:val="single" w:sz="8" w:color="1478A3"/>
            </w:tcBorders>
            <w:shd w:val="clear" w:color="auto" w:fill="E3EAEE"/>
          </w:tcPr>
          <w:p>
            <w:pPr>
              <w:ind w:left="140"/>
              <w:spacing w:after="0"/>
              <w:rPr>
                <w:sz w:val="20"/>
                <w:szCs w:val="20"/>
                <w:color w:val="auto"/>
              </w:rPr>
            </w:pPr>
            <w:r>
              <w:rPr>
                <w:rFonts w:ascii="Arial" w:cs="Arial" w:eastAsia="Arial" w:hAnsi="Arial"/>
                <w:sz w:val="16"/>
                <w:szCs w:val="16"/>
                <w:b w:val="1"/>
                <w:bCs w:val="1"/>
                <w:color w:val="1478A3"/>
              </w:rPr>
              <w:t>Performance Metrics</w:t>
            </w:r>
          </w:p>
        </w:tc>
        <w:tc>
          <w:tcPr>
            <w:tcW w:w="7980" w:type="dxa"/>
            <w:vAlign w:val="bottom"/>
            <w:tcBorders>
              <w:bottom w:val="single" w:sz="8" w:color="1478A3"/>
            </w:tcBorders>
            <w:shd w:val="clear" w:color="auto" w:fill="E3EAEE"/>
          </w:tcPr>
          <w:p>
            <w:pPr>
              <w:ind w:left="220"/>
              <w:spacing w:after="0"/>
              <w:rPr>
                <w:sz w:val="20"/>
                <w:szCs w:val="20"/>
                <w:color w:val="auto"/>
              </w:rPr>
            </w:pPr>
            <w:r>
              <w:rPr>
                <w:rFonts w:ascii="Arial" w:cs="Arial" w:eastAsia="Arial" w:hAnsi="Arial"/>
                <w:sz w:val="16"/>
                <w:szCs w:val="16"/>
                <w:b w:val="1"/>
                <w:bCs w:val="1"/>
                <w:color w:val="1478A3"/>
              </w:rPr>
              <w:t>Why We Selected This Measure</w:t>
            </w:r>
          </w:p>
        </w:tc>
        <w:tc>
          <w:tcPr>
            <w:tcW w:w="1200" w:type="dxa"/>
            <w:vAlign w:val="bottom"/>
            <w:tcBorders>
              <w:bottom w:val="single" w:sz="8" w:color="1478A3"/>
            </w:tcBorders>
            <w:shd w:val="clear" w:color="auto" w:fill="E3EAEE"/>
          </w:tcPr>
          <w:p>
            <w:pPr>
              <w:jc w:val="center"/>
              <w:spacing w:after="0"/>
              <w:rPr>
                <w:sz w:val="20"/>
                <w:szCs w:val="20"/>
                <w:color w:val="auto"/>
              </w:rPr>
            </w:pPr>
            <w:r>
              <w:rPr>
                <w:rFonts w:ascii="Arial" w:cs="Arial" w:eastAsia="Arial" w:hAnsi="Arial"/>
                <w:sz w:val="16"/>
                <w:szCs w:val="16"/>
                <w:b w:val="1"/>
                <w:bCs w:val="1"/>
                <w:color w:val="1478A3"/>
                <w:w w:val="99"/>
              </w:rPr>
              <w:t>Weighting (%)</w:t>
            </w:r>
          </w:p>
        </w:tc>
      </w:tr>
      <w:tr>
        <w:trPr>
          <w:trHeight w:val="218"/>
        </w:trPr>
        <w:tc>
          <w:tcPr>
            <w:tcW w:w="1960" w:type="dxa"/>
            <w:vAlign w:val="bottom"/>
          </w:tcPr>
          <w:p>
            <w:pPr>
              <w:ind w:left="100"/>
              <w:spacing w:after="0"/>
              <w:rPr>
                <w:sz w:val="20"/>
                <w:szCs w:val="20"/>
                <w:color w:val="auto"/>
              </w:rPr>
            </w:pPr>
            <w:r>
              <w:rPr>
                <w:rFonts w:ascii="Arial" w:cs="Arial" w:eastAsia="Arial" w:hAnsi="Arial"/>
                <w:sz w:val="18"/>
                <w:szCs w:val="18"/>
                <w:color w:val="3E474E"/>
              </w:rPr>
              <w:t>Normalized FFO per</w:t>
            </w:r>
          </w:p>
        </w:tc>
        <w:tc>
          <w:tcPr>
            <w:tcW w:w="7980" w:type="dxa"/>
            <w:vAlign w:val="bottom"/>
          </w:tcPr>
          <w:p>
            <w:pPr>
              <w:ind w:left="220"/>
              <w:spacing w:after="0"/>
              <w:rPr>
                <w:sz w:val="20"/>
                <w:szCs w:val="20"/>
                <w:color w:val="auto"/>
              </w:rPr>
            </w:pPr>
            <w:r>
              <w:rPr>
                <w:rFonts w:ascii="Arial" w:cs="Arial" w:eastAsia="Arial" w:hAnsi="Arial"/>
                <w:sz w:val="18"/>
                <w:szCs w:val="18"/>
                <w:color w:val="3E474E"/>
              </w:rPr>
              <w:t>Key REIT profitability metric</w:t>
            </w:r>
          </w:p>
        </w:tc>
        <w:tc>
          <w:tcPr>
            <w:tcW w:w="1200" w:type="dxa"/>
            <w:vAlign w:val="bottom"/>
          </w:tcPr>
          <w:p>
            <w:pPr>
              <w:jc w:val="center"/>
              <w:spacing w:after="0"/>
              <w:rPr>
                <w:sz w:val="20"/>
                <w:szCs w:val="20"/>
                <w:color w:val="auto"/>
              </w:rPr>
            </w:pPr>
            <w:r>
              <w:rPr>
                <w:rFonts w:ascii="Arial" w:cs="Arial" w:eastAsia="Arial" w:hAnsi="Arial"/>
                <w:sz w:val="18"/>
                <w:szCs w:val="18"/>
                <w:color w:val="3E474E"/>
                <w:w w:val="99"/>
              </w:rPr>
              <w:t>50</w:t>
            </w:r>
          </w:p>
        </w:tc>
      </w:tr>
      <w:tr>
        <w:trPr>
          <w:trHeight w:val="239"/>
        </w:trPr>
        <w:tc>
          <w:tcPr>
            <w:tcW w:w="1960" w:type="dxa"/>
            <w:vAlign w:val="bottom"/>
          </w:tcPr>
          <w:p>
            <w:pPr>
              <w:ind w:left="100"/>
              <w:spacing w:after="0"/>
              <w:rPr>
                <w:sz w:val="20"/>
                <w:szCs w:val="20"/>
                <w:color w:val="auto"/>
              </w:rPr>
            </w:pPr>
            <w:r>
              <w:rPr>
                <w:rFonts w:ascii="Arial" w:cs="Arial" w:eastAsia="Arial" w:hAnsi="Arial"/>
                <w:sz w:val="18"/>
                <w:szCs w:val="18"/>
                <w:color w:val="3E474E"/>
              </w:rPr>
              <w:t>share</w:t>
            </w:r>
          </w:p>
        </w:tc>
        <w:tc>
          <w:tcPr>
            <w:tcW w:w="79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
        </w:trPr>
        <w:tc>
          <w:tcPr>
            <w:tcW w:w="196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4"/>
        </w:trPr>
        <w:tc>
          <w:tcPr>
            <w:tcW w:w="1960" w:type="dxa"/>
            <w:vAlign w:val="bottom"/>
            <w:shd w:val="clear" w:color="auto" w:fill="E3EAEE"/>
          </w:tcPr>
          <w:p>
            <w:pPr>
              <w:ind w:left="100"/>
              <w:spacing w:after="0"/>
              <w:rPr>
                <w:sz w:val="20"/>
                <w:szCs w:val="20"/>
                <w:color w:val="auto"/>
              </w:rPr>
            </w:pPr>
            <w:r>
              <w:rPr>
                <w:rFonts w:ascii="Arial" w:cs="Arial" w:eastAsia="Arial" w:hAnsi="Arial"/>
                <w:sz w:val="18"/>
                <w:szCs w:val="18"/>
                <w:color w:val="3E474E"/>
              </w:rPr>
              <w:t>Portfolio NOI Growth</w:t>
            </w:r>
          </w:p>
        </w:tc>
        <w:tc>
          <w:tcPr>
            <w:tcW w:w="7980" w:type="dxa"/>
            <w:vAlign w:val="bottom"/>
            <w:shd w:val="clear" w:color="auto" w:fill="E3EAEE"/>
          </w:tcPr>
          <w:p>
            <w:pPr>
              <w:ind w:left="220"/>
              <w:spacing w:after="0"/>
              <w:rPr>
                <w:sz w:val="20"/>
                <w:szCs w:val="20"/>
                <w:color w:val="auto"/>
              </w:rPr>
            </w:pPr>
            <w:r>
              <w:rPr>
                <w:rFonts w:ascii="Arial" w:cs="Arial" w:eastAsia="Arial" w:hAnsi="Arial"/>
                <w:sz w:val="18"/>
                <w:szCs w:val="18"/>
                <w:color w:val="3E474E"/>
              </w:rPr>
              <w:t>Key operational measure that supports effectiveness of rental revenue growth and operating cost</w:t>
            </w:r>
          </w:p>
        </w:tc>
        <w:tc>
          <w:tcPr>
            <w:tcW w:w="1200" w:type="dxa"/>
            <w:vAlign w:val="bottom"/>
            <w:shd w:val="clear" w:color="auto" w:fill="E3EAEE"/>
          </w:tcPr>
          <w:p>
            <w:pPr>
              <w:jc w:val="center"/>
              <w:spacing w:after="0"/>
              <w:rPr>
                <w:sz w:val="20"/>
                <w:szCs w:val="20"/>
                <w:color w:val="auto"/>
              </w:rPr>
            </w:pPr>
            <w:r>
              <w:rPr>
                <w:rFonts w:ascii="Arial" w:cs="Arial" w:eastAsia="Arial" w:hAnsi="Arial"/>
                <w:sz w:val="18"/>
                <w:szCs w:val="18"/>
                <w:color w:val="3E474E"/>
                <w:w w:val="99"/>
              </w:rPr>
              <w:t>20</w:t>
            </w:r>
          </w:p>
        </w:tc>
      </w:tr>
      <w:tr>
        <w:trPr>
          <w:trHeight w:val="239"/>
        </w:trPr>
        <w:tc>
          <w:tcPr>
            <w:tcW w:w="1960" w:type="dxa"/>
            <w:vAlign w:val="bottom"/>
            <w:shd w:val="clear" w:color="auto" w:fill="E3EAEE"/>
          </w:tcPr>
          <w:p>
            <w:pPr>
              <w:spacing w:after="0"/>
              <w:rPr>
                <w:sz w:val="20"/>
                <w:szCs w:val="20"/>
                <w:color w:val="auto"/>
              </w:rPr>
            </w:pPr>
          </w:p>
        </w:tc>
        <w:tc>
          <w:tcPr>
            <w:tcW w:w="7980" w:type="dxa"/>
            <w:vAlign w:val="bottom"/>
            <w:shd w:val="clear" w:color="auto" w:fill="E3EAEE"/>
          </w:tcPr>
          <w:p>
            <w:pPr>
              <w:ind w:left="220"/>
              <w:spacing w:after="0"/>
              <w:rPr>
                <w:sz w:val="20"/>
                <w:szCs w:val="20"/>
                <w:color w:val="auto"/>
              </w:rPr>
            </w:pPr>
            <w:r>
              <w:rPr>
                <w:rFonts w:ascii="Arial" w:cs="Arial" w:eastAsia="Arial" w:hAnsi="Arial"/>
                <w:sz w:val="18"/>
                <w:szCs w:val="18"/>
                <w:color w:val="3E474E"/>
              </w:rPr>
              <w:t>management</w:t>
            </w:r>
          </w:p>
        </w:tc>
        <w:tc>
          <w:tcPr>
            <w:tcW w:w="1200" w:type="dxa"/>
            <w:vAlign w:val="bottom"/>
            <w:shd w:val="clear" w:color="auto" w:fill="E3EAEE"/>
          </w:tcPr>
          <w:p>
            <w:pPr>
              <w:spacing w:after="0"/>
              <w:rPr>
                <w:sz w:val="20"/>
                <w:szCs w:val="20"/>
                <w:color w:val="auto"/>
              </w:rPr>
            </w:pPr>
          </w:p>
        </w:tc>
      </w:tr>
      <w:tr>
        <w:trPr>
          <w:trHeight w:val="23"/>
        </w:trPr>
        <w:tc>
          <w:tcPr>
            <w:tcW w:w="1960" w:type="dxa"/>
            <w:vAlign w:val="bottom"/>
            <w:shd w:val="clear" w:color="auto" w:fill="E3EAEE"/>
          </w:tcPr>
          <w:p>
            <w:pPr>
              <w:spacing w:after="0"/>
              <w:rPr>
                <w:sz w:val="2"/>
                <w:szCs w:val="2"/>
                <w:color w:val="auto"/>
              </w:rPr>
            </w:pPr>
          </w:p>
        </w:tc>
        <w:tc>
          <w:tcPr>
            <w:tcW w:w="7980" w:type="dxa"/>
            <w:vAlign w:val="bottom"/>
            <w:shd w:val="clear" w:color="auto" w:fill="E3EAEE"/>
          </w:tcPr>
          <w:p>
            <w:pPr>
              <w:spacing w:after="0"/>
              <w:rPr>
                <w:sz w:val="2"/>
                <w:szCs w:val="2"/>
                <w:color w:val="auto"/>
              </w:rPr>
            </w:pPr>
          </w:p>
        </w:tc>
        <w:tc>
          <w:tcPr>
            <w:tcW w:w="1200" w:type="dxa"/>
            <w:vAlign w:val="bottom"/>
            <w:shd w:val="clear" w:color="auto" w:fill="E3EAEE"/>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43</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747C83"/>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ind w:left="100"/>
              <w:spacing w:after="0"/>
              <w:rPr>
                <w:sz w:val="20"/>
                <w:szCs w:val="20"/>
                <w:color w:val="auto"/>
              </w:rPr>
            </w:pPr>
            <w:r>
              <w:rPr>
                <w:rFonts w:ascii="Arial" w:cs="Arial" w:eastAsia="Arial" w:hAnsi="Arial"/>
                <w:sz w:val="18"/>
                <w:szCs w:val="18"/>
                <w:color w:val="3E474E"/>
              </w:rPr>
              <w:t>Multifamily Same-Store</w:t>
            </w:r>
          </w:p>
        </w:tc>
        <w:tc>
          <w:tcPr>
            <w:tcW w:w="8060" w:type="dxa"/>
            <w:vAlign w:val="bottom"/>
          </w:tcPr>
          <w:p>
            <w:pPr>
              <w:ind w:left="120"/>
              <w:spacing w:after="0"/>
              <w:rPr>
                <w:sz w:val="20"/>
                <w:szCs w:val="20"/>
                <w:color w:val="auto"/>
              </w:rPr>
            </w:pPr>
            <w:r>
              <w:rPr>
                <w:rFonts w:ascii="Arial" w:cs="Arial" w:eastAsia="Arial" w:hAnsi="Arial"/>
                <w:sz w:val="18"/>
                <w:szCs w:val="18"/>
                <w:color w:val="3E474E"/>
              </w:rPr>
              <w:t>Key indicator of the effectiveness in managing growth for individual properties and executing our</w:t>
            </w:r>
          </w:p>
        </w:tc>
        <w:tc>
          <w:tcPr>
            <w:tcW w:w="1020" w:type="dxa"/>
            <w:vAlign w:val="bottom"/>
          </w:tcPr>
          <w:p>
            <w:pPr>
              <w:jc w:val="right"/>
              <w:ind w:right="410"/>
              <w:spacing w:after="0"/>
              <w:rPr>
                <w:sz w:val="20"/>
                <w:szCs w:val="20"/>
                <w:color w:val="auto"/>
              </w:rPr>
            </w:pPr>
            <w:r>
              <w:rPr>
                <w:rFonts w:ascii="Arial" w:cs="Arial" w:eastAsia="Arial" w:hAnsi="Arial"/>
                <w:sz w:val="18"/>
                <w:szCs w:val="18"/>
                <w:color w:val="3E474E"/>
              </w:rPr>
              <w:t>10</w:t>
            </w:r>
          </w:p>
        </w:tc>
      </w:tr>
      <w:tr>
        <w:trPr>
          <w:trHeight w:val="239"/>
        </w:trPr>
        <w:tc>
          <w:tcPr>
            <w:tcW w:w="2060" w:type="dxa"/>
            <w:vAlign w:val="bottom"/>
          </w:tcPr>
          <w:p>
            <w:pPr>
              <w:ind w:left="100"/>
              <w:spacing w:after="0"/>
              <w:rPr>
                <w:sz w:val="20"/>
                <w:szCs w:val="20"/>
                <w:color w:val="auto"/>
              </w:rPr>
            </w:pPr>
            <w:r>
              <w:rPr>
                <w:rFonts w:ascii="Arial" w:cs="Arial" w:eastAsia="Arial" w:hAnsi="Arial"/>
                <w:sz w:val="18"/>
                <w:szCs w:val="18"/>
                <w:color w:val="3E474E"/>
              </w:rPr>
              <w:t>NOI Growth</w:t>
            </w:r>
          </w:p>
        </w:tc>
        <w:tc>
          <w:tcPr>
            <w:tcW w:w="8060" w:type="dxa"/>
            <w:vAlign w:val="bottom"/>
          </w:tcPr>
          <w:p>
            <w:pPr>
              <w:ind w:left="120"/>
              <w:spacing w:after="0"/>
              <w:rPr>
                <w:sz w:val="20"/>
                <w:szCs w:val="20"/>
                <w:color w:val="auto"/>
              </w:rPr>
            </w:pPr>
            <w:r>
              <w:rPr>
                <w:rFonts w:ascii="Arial" w:cs="Arial" w:eastAsia="Arial" w:hAnsi="Arial"/>
                <w:sz w:val="18"/>
                <w:szCs w:val="18"/>
                <w:color w:val="3E474E"/>
              </w:rPr>
              <w:t>leasing goals</w:t>
            </w:r>
          </w:p>
        </w:tc>
        <w:tc>
          <w:tcPr>
            <w:tcW w:w="1020" w:type="dxa"/>
            <w:vAlign w:val="bottom"/>
          </w:tcPr>
          <w:p>
            <w:pPr>
              <w:spacing w:after="0"/>
              <w:rPr>
                <w:sz w:val="20"/>
                <w:szCs w:val="20"/>
                <w:color w:val="auto"/>
              </w:rPr>
            </w:pPr>
          </w:p>
        </w:tc>
      </w:tr>
      <w:tr>
        <w:trPr>
          <w:trHeight w:val="23"/>
        </w:trPr>
        <w:tc>
          <w:tcPr>
            <w:tcW w:w="20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4"/>
        </w:trPr>
        <w:tc>
          <w:tcPr>
            <w:tcW w:w="2060" w:type="dxa"/>
            <w:vAlign w:val="bottom"/>
            <w:shd w:val="clear" w:color="auto" w:fill="E3EAEE"/>
          </w:tcPr>
          <w:p>
            <w:pPr>
              <w:ind w:left="100"/>
              <w:spacing w:after="0"/>
              <w:rPr>
                <w:sz w:val="20"/>
                <w:szCs w:val="20"/>
                <w:color w:val="auto"/>
              </w:rPr>
            </w:pPr>
            <w:r>
              <w:rPr>
                <w:rFonts w:ascii="Arial" w:cs="Arial" w:eastAsia="Arial" w:hAnsi="Arial"/>
                <w:sz w:val="18"/>
                <w:szCs w:val="18"/>
                <w:color w:val="3E474E"/>
              </w:rPr>
              <w:t>Individual Goals</w:t>
            </w:r>
          </w:p>
        </w:tc>
        <w:tc>
          <w:tcPr>
            <w:tcW w:w="8060" w:type="dxa"/>
            <w:vAlign w:val="bottom"/>
            <w:shd w:val="clear" w:color="auto" w:fill="E3EAEE"/>
          </w:tcPr>
          <w:p>
            <w:pPr>
              <w:ind w:left="120"/>
              <w:spacing w:after="0"/>
              <w:rPr>
                <w:sz w:val="20"/>
                <w:szCs w:val="20"/>
                <w:color w:val="auto"/>
              </w:rPr>
            </w:pPr>
            <w:r>
              <w:rPr>
                <w:rFonts w:ascii="Arial" w:cs="Arial" w:eastAsia="Arial" w:hAnsi="Arial"/>
                <w:sz w:val="18"/>
                <w:szCs w:val="18"/>
                <w:color w:val="3E474E"/>
              </w:rPr>
              <w:t>Holds our NEOs accountable for their individual responsibilities and contributions in executing</w:t>
            </w:r>
          </w:p>
        </w:tc>
        <w:tc>
          <w:tcPr>
            <w:tcW w:w="1020" w:type="dxa"/>
            <w:vAlign w:val="bottom"/>
            <w:shd w:val="clear" w:color="auto" w:fill="E3EAEE"/>
          </w:tcPr>
          <w:p>
            <w:pPr>
              <w:jc w:val="right"/>
              <w:ind w:right="410"/>
              <w:spacing w:after="0"/>
              <w:rPr>
                <w:sz w:val="20"/>
                <w:szCs w:val="20"/>
                <w:color w:val="auto"/>
              </w:rPr>
            </w:pPr>
            <w:r>
              <w:rPr>
                <w:rFonts w:ascii="Arial" w:cs="Arial" w:eastAsia="Arial" w:hAnsi="Arial"/>
                <w:sz w:val="18"/>
                <w:szCs w:val="18"/>
                <w:color w:val="3E474E"/>
              </w:rPr>
              <w:t>20</w:t>
            </w:r>
          </w:p>
        </w:tc>
      </w:tr>
      <w:tr>
        <w:trPr>
          <w:trHeight w:val="242"/>
        </w:trPr>
        <w:tc>
          <w:tcPr>
            <w:tcW w:w="2060" w:type="dxa"/>
            <w:vAlign w:val="bottom"/>
            <w:tcBorders>
              <w:bottom w:val="single" w:sz="8" w:color="E3EAEE"/>
            </w:tcBorders>
            <w:shd w:val="clear" w:color="auto" w:fill="E3EAEE"/>
          </w:tcPr>
          <w:p>
            <w:pPr>
              <w:spacing w:after="0"/>
              <w:rPr>
                <w:sz w:val="21"/>
                <w:szCs w:val="21"/>
                <w:color w:val="auto"/>
              </w:rPr>
            </w:pPr>
          </w:p>
        </w:tc>
        <w:tc>
          <w:tcPr>
            <w:tcW w:w="8060" w:type="dxa"/>
            <w:vAlign w:val="bottom"/>
            <w:tcBorders>
              <w:bottom w:val="single" w:sz="8" w:color="E3EAEE"/>
            </w:tcBorders>
            <w:shd w:val="clear" w:color="auto" w:fill="E3EAEE"/>
          </w:tcPr>
          <w:p>
            <w:pPr>
              <w:ind w:left="120"/>
              <w:spacing w:after="0"/>
              <w:rPr>
                <w:sz w:val="20"/>
                <w:szCs w:val="20"/>
                <w:color w:val="auto"/>
              </w:rPr>
            </w:pPr>
            <w:r>
              <w:rPr>
                <w:rFonts w:ascii="Arial" w:cs="Arial" w:eastAsia="Arial" w:hAnsi="Arial"/>
                <w:sz w:val="18"/>
                <w:szCs w:val="18"/>
                <w:color w:val="3E474E"/>
              </w:rPr>
              <w:t>the Company’s strategic business plan</w:t>
            </w:r>
          </w:p>
        </w:tc>
        <w:tc>
          <w:tcPr>
            <w:tcW w:w="1020" w:type="dxa"/>
            <w:vAlign w:val="bottom"/>
            <w:tcBorders>
              <w:bottom w:val="single" w:sz="8" w:color="E3EAEE"/>
            </w:tcBorders>
            <w:shd w:val="clear" w:color="auto" w:fill="E3EAEE"/>
          </w:tcPr>
          <w:p>
            <w:pPr>
              <w:spacing w:after="0"/>
              <w:rPr>
                <w:sz w:val="21"/>
                <w:szCs w:val="21"/>
                <w:color w:val="auto"/>
              </w:rPr>
            </w:pPr>
          </w:p>
        </w:tc>
      </w:tr>
      <w:tr>
        <w:trPr>
          <w:trHeight w:val="20"/>
        </w:trPr>
        <w:tc>
          <w:tcPr>
            <w:tcW w:w="2060" w:type="dxa"/>
            <w:vAlign w:val="bottom"/>
            <w:shd w:val="clear" w:color="auto" w:fill="1478A3"/>
          </w:tcPr>
          <w:p>
            <w:pPr>
              <w:spacing w:after="0" w:line="20" w:lineRule="exact"/>
              <w:rPr>
                <w:sz w:val="1"/>
                <w:szCs w:val="1"/>
                <w:color w:val="auto"/>
              </w:rPr>
            </w:pPr>
          </w:p>
        </w:tc>
        <w:tc>
          <w:tcPr>
            <w:tcW w:w="8060" w:type="dxa"/>
            <w:vAlign w:val="bottom"/>
            <w:shd w:val="clear" w:color="auto" w:fill="1478A3"/>
          </w:tcPr>
          <w:p>
            <w:pPr>
              <w:spacing w:after="0" w:line="20" w:lineRule="exact"/>
              <w:rPr>
                <w:sz w:val="1"/>
                <w:szCs w:val="1"/>
                <w:color w:val="auto"/>
              </w:rPr>
            </w:pPr>
          </w:p>
        </w:tc>
        <w:tc>
          <w:tcPr>
            <w:tcW w:w="1020" w:type="dxa"/>
            <w:vAlign w:val="bottom"/>
            <w:shd w:val="clear" w:color="auto" w:fill="1478A3"/>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3E474E"/>
        </w:rPr>
        <w:t>The table below sets forth the 2025 STIP performance metrics, weightings, and actual results: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20" w:type="dxa"/>
            <w:vAlign w:val="bottom"/>
            <w:tcBorders>
              <w:bottom w:val="single" w:sz="8" w:color="E3EAEE"/>
            </w:tcBorders>
            <w:shd w:val="clear" w:color="auto" w:fill="E3EAEE"/>
          </w:tcPr>
          <w:p>
            <w:pPr>
              <w:spacing w:after="0"/>
              <w:rPr>
                <w:sz w:val="21"/>
                <w:szCs w:val="21"/>
                <w:color w:val="auto"/>
              </w:rPr>
            </w:pPr>
          </w:p>
        </w:tc>
        <w:tc>
          <w:tcPr>
            <w:tcW w:w="1340" w:type="dxa"/>
            <w:vAlign w:val="bottom"/>
            <w:tcBorders>
              <w:bottom w:val="single" w:sz="8" w:color="007AA7"/>
            </w:tcBorders>
            <w:shd w:val="clear" w:color="auto" w:fill="E3EAEE"/>
          </w:tcPr>
          <w:p>
            <w:pPr>
              <w:spacing w:after="0"/>
              <w:rPr>
                <w:sz w:val="21"/>
                <w:szCs w:val="21"/>
                <w:color w:val="auto"/>
              </w:rPr>
            </w:pPr>
          </w:p>
        </w:tc>
        <w:tc>
          <w:tcPr>
            <w:tcW w:w="120" w:type="dxa"/>
            <w:vAlign w:val="bottom"/>
            <w:tcBorders>
              <w:bottom w:val="single" w:sz="8" w:color="007AA7"/>
            </w:tcBorders>
            <w:shd w:val="clear" w:color="auto" w:fill="E3EAEE"/>
          </w:tcPr>
          <w:p>
            <w:pPr>
              <w:spacing w:after="0"/>
              <w:rPr>
                <w:sz w:val="21"/>
                <w:szCs w:val="21"/>
                <w:color w:val="auto"/>
              </w:rPr>
            </w:pPr>
          </w:p>
        </w:tc>
        <w:tc>
          <w:tcPr>
            <w:tcW w:w="1360" w:type="dxa"/>
            <w:vAlign w:val="bottom"/>
            <w:tcBorders>
              <w:bottom w:val="single" w:sz="8" w:color="007AA7"/>
            </w:tcBorders>
            <w:shd w:val="clear" w:color="auto" w:fill="E3EAEE"/>
          </w:tcPr>
          <w:p>
            <w:pPr>
              <w:spacing w:after="0"/>
              <w:rPr>
                <w:sz w:val="21"/>
                <w:szCs w:val="21"/>
                <w:color w:val="auto"/>
              </w:rPr>
            </w:pPr>
          </w:p>
        </w:tc>
        <w:tc>
          <w:tcPr>
            <w:tcW w:w="200" w:type="dxa"/>
            <w:vAlign w:val="bottom"/>
            <w:tcBorders>
              <w:bottom w:val="single" w:sz="8" w:color="007AA7"/>
            </w:tcBorders>
            <w:shd w:val="clear" w:color="auto" w:fill="E3EAEE"/>
          </w:tcPr>
          <w:p>
            <w:pPr>
              <w:spacing w:after="0"/>
              <w:rPr>
                <w:sz w:val="21"/>
                <w:szCs w:val="21"/>
                <w:color w:val="auto"/>
              </w:rPr>
            </w:pPr>
          </w:p>
        </w:tc>
        <w:tc>
          <w:tcPr>
            <w:tcW w:w="1240" w:type="dxa"/>
            <w:vAlign w:val="bottom"/>
            <w:tcBorders>
              <w:bottom w:val="single" w:sz="8" w:color="007AA7"/>
            </w:tcBorders>
            <w:shd w:val="clear" w:color="auto" w:fill="E3EAEE"/>
          </w:tcPr>
          <w:p>
            <w:pPr>
              <w:jc w:val="center"/>
              <w:ind w:right="139"/>
              <w:spacing w:after="0"/>
              <w:rPr>
                <w:sz w:val="20"/>
                <w:szCs w:val="20"/>
                <w:color w:val="auto"/>
              </w:rPr>
            </w:pPr>
            <w:r>
              <w:rPr>
                <w:rFonts w:ascii="Arial" w:cs="Arial" w:eastAsia="Arial" w:hAnsi="Arial"/>
                <w:sz w:val="16"/>
                <w:szCs w:val="16"/>
                <w:b w:val="1"/>
                <w:bCs w:val="1"/>
                <w:color w:val="1478A3"/>
              </w:rPr>
              <w:t>2025 Goals</w:t>
            </w:r>
          </w:p>
        </w:tc>
        <w:tc>
          <w:tcPr>
            <w:tcW w:w="640" w:type="dxa"/>
            <w:vAlign w:val="bottom"/>
            <w:tcBorders>
              <w:bottom w:val="single" w:sz="8" w:color="007AA7"/>
            </w:tcBorders>
            <w:shd w:val="clear" w:color="auto" w:fill="E3EAEE"/>
          </w:tcPr>
          <w:p>
            <w:pPr>
              <w:spacing w:after="0"/>
              <w:rPr>
                <w:sz w:val="21"/>
                <w:szCs w:val="21"/>
                <w:color w:val="auto"/>
              </w:rPr>
            </w:pPr>
          </w:p>
        </w:tc>
        <w:tc>
          <w:tcPr>
            <w:tcW w:w="840" w:type="dxa"/>
            <w:vAlign w:val="bottom"/>
            <w:tcBorders>
              <w:bottom w:val="single" w:sz="8" w:color="007AA7"/>
            </w:tcBorders>
            <w:shd w:val="clear" w:color="auto" w:fill="E3EAEE"/>
          </w:tcPr>
          <w:p>
            <w:pPr>
              <w:spacing w:after="0"/>
              <w:rPr>
                <w:sz w:val="21"/>
                <w:szCs w:val="21"/>
                <w:color w:val="auto"/>
              </w:rPr>
            </w:pPr>
          </w:p>
        </w:tc>
        <w:tc>
          <w:tcPr>
            <w:tcW w:w="180" w:type="dxa"/>
            <w:vAlign w:val="bottom"/>
            <w:tcBorders>
              <w:bottom w:val="single" w:sz="8" w:color="007AA7"/>
            </w:tcBorders>
            <w:shd w:val="clear" w:color="auto" w:fill="E3EAEE"/>
          </w:tcPr>
          <w:p>
            <w:pPr>
              <w:spacing w:after="0"/>
              <w:rPr>
                <w:sz w:val="21"/>
                <w:szCs w:val="21"/>
                <w:color w:val="auto"/>
              </w:rPr>
            </w:pPr>
          </w:p>
        </w:tc>
        <w:tc>
          <w:tcPr>
            <w:tcW w:w="2800" w:type="dxa"/>
            <w:vAlign w:val="bottom"/>
            <w:tcBorders>
              <w:bottom w:val="single" w:sz="8" w:color="007AA7"/>
            </w:tcBorders>
            <w:gridSpan w:val="2"/>
            <w:shd w:val="clear" w:color="auto" w:fill="E3EAEE"/>
          </w:tcPr>
          <w:p>
            <w:pPr>
              <w:jc w:val="right"/>
              <w:ind w:right="939"/>
              <w:spacing w:after="0"/>
              <w:rPr>
                <w:sz w:val="20"/>
                <w:szCs w:val="20"/>
                <w:color w:val="auto"/>
              </w:rPr>
            </w:pPr>
            <w:r>
              <w:rPr>
                <w:rFonts w:ascii="Arial" w:cs="Arial" w:eastAsia="Arial" w:hAnsi="Arial"/>
                <w:sz w:val="16"/>
                <w:szCs w:val="16"/>
                <w:color w:val="1478A3"/>
              </w:rPr>
              <w:t>2025 Results</w:t>
            </w:r>
          </w:p>
        </w:tc>
        <w:tc>
          <w:tcPr>
            <w:tcW w:w="0" w:type="dxa"/>
            <w:vAlign w:val="bottom"/>
          </w:tcPr>
          <w:p>
            <w:pPr>
              <w:spacing w:after="0"/>
              <w:rPr>
                <w:sz w:val="1"/>
                <w:szCs w:val="1"/>
                <w:color w:val="auto"/>
              </w:rPr>
            </w:pPr>
          </w:p>
        </w:tc>
      </w:tr>
      <w:tr>
        <w:trPr>
          <w:trHeight w:val="196"/>
        </w:trPr>
        <w:tc>
          <w:tcPr>
            <w:tcW w:w="2520" w:type="dxa"/>
            <w:vAlign w:val="bottom"/>
            <w:shd w:val="clear" w:color="auto" w:fill="E3EAEE"/>
          </w:tcPr>
          <w:p>
            <w:pPr>
              <w:ind w:left="140"/>
              <w:spacing w:after="0"/>
              <w:rPr>
                <w:sz w:val="20"/>
                <w:szCs w:val="20"/>
                <w:color w:val="auto"/>
              </w:rPr>
            </w:pPr>
            <w:r>
              <w:rPr>
                <w:rFonts w:ascii="Arial" w:cs="Arial" w:eastAsia="Arial" w:hAnsi="Arial"/>
                <w:sz w:val="16"/>
                <w:szCs w:val="16"/>
                <w:b w:val="1"/>
                <w:bCs w:val="1"/>
                <w:color w:val="1478A3"/>
              </w:rPr>
              <w:t>2025 STIP Metrics</w:t>
            </w:r>
          </w:p>
        </w:tc>
        <w:tc>
          <w:tcPr>
            <w:tcW w:w="134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Weighting</w:t>
            </w:r>
          </w:p>
        </w:tc>
        <w:tc>
          <w:tcPr>
            <w:tcW w:w="120" w:type="dxa"/>
            <w:vAlign w:val="bottom"/>
            <w:shd w:val="clear" w:color="auto" w:fill="E3EAEE"/>
          </w:tcPr>
          <w:p>
            <w:pPr>
              <w:spacing w:after="0"/>
              <w:rPr>
                <w:sz w:val="17"/>
                <w:szCs w:val="17"/>
                <w:color w:val="auto"/>
              </w:rPr>
            </w:pPr>
          </w:p>
        </w:tc>
        <w:tc>
          <w:tcPr>
            <w:tcW w:w="1360" w:type="dxa"/>
            <w:vAlign w:val="bottom"/>
            <w:shd w:val="clear" w:color="auto" w:fill="E3EAEE"/>
          </w:tcPr>
          <w:p>
            <w:pPr>
              <w:ind w:left="560"/>
              <w:spacing w:after="0"/>
              <w:rPr>
                <w:sz w:val="20"/>
                <w:szCs w:val="20"/>
                <w:color w:val="auto"/>
              </w:rPr>
            </w:pPr>
            <w:r>
              <w:rPr>
                <w:rFonts w:ascii="Arial" w:cs="Arial" w:eastAsia="Arial" w:hAnsi="Arial"/>
                <w:sz w:val="16"/>
                <w:szCs w:val="16"/>
                <w:b w:val="1"/>
                <w:bCs w:val="1"/>
                <w:color w:val="1478A3"/>
              </w:rPr>
              <w:t>Threshold</w:t>
            </w:r>
          </w:p>
        </w:tc>
        <w:tc>
          <w:tcPr>
            <w:tcW w:w="200" w:type="dxa"/>
            <w:vAlign w:val="bottom"/>
            <w:shd w:val="clear" w:color="auto" w:fill="E3EAEE"/>
          </w:tcPr>
          <w:p>
            <w:pPr>
              <w:spacing w:after="0"/>
              <w:rPr>
                <w:sz w:val="17"/>
                <w:szCs w:val="17"/>
                <w:color w:val="auto"/>
              </w:rPr>
            </w:pPr>
          </w:p>
        </w:tc>
        <w:tc>
          <w:tcPr>
            <w:tcW w:w="1240" w:type="dxa"/>
            <w:vAlign w:val="bottom"/>
            <w:shd w:val="clear" w:color="auto" w:fill="E3EAEE"/>
          </w:tcPr>
          <w:p>
            <w:pPr>
              <w:ind w:left="740"/>
              <w:spacing w:after="0"/>
              <w:rPr>
                <w:sz w:val="20"/>
                <w:szCs w:val="20"/>
                <w:color w:val="auto"/>
              </w:rPr>
            </w:pPr>
            <w:r>
              <w:rPr>
                <w:rFonts w:ascii="Arial" w:cs="Arial" w:eastAsia="Arial" w:hAnsi="Arial"/>
                <w:sz w:val="16"/>
                <w:szCs w:val="16"/>
                <w:b w:val="1"/>
                <w:bCs w:val="1"/>
                <w:color w:val="1478A3"/>
                <w:w w:val="98"/>
              </w:rPr>
              <w:t>Target</w:t>
            </w:r>
          </w:p>
        </w:tc>
        <w:tc>
          <w:tcPr>
            <w:tcW w:w="640" w:type="dxa"/>
            <w:vAlign w:val="bottom"/>
            <w:shd w:val="clear" w:color="auto" w:fill="E3EAEE"/>
          </w:tcPr>
          <w:p>
            <w:pPr>
              <w:spacing w:after="0"/>
              <w:rPr>
                <w:sz w:val="17"/>
                <w:szCs w:val="17"/>
                <w:color w:val="auto"/>
              </w:rPr>
            </w:pPr>
          </w:p>
        </w:tc>
        <w:tc>
          <w:tcPr>
            <w:tcW w:w="840" w:type="dxa"/>
            <w:vAlign w:val="bottom"/>
            <w:shd w:val="clear" w:color="auto" w:fill="E3EAEE"/>
          </w:tcPr>
          <w:p>
            <w:pPr>
              <w:ind w:left="80"/>
              <w:spacing w:after="0"/>
              <w:rPr>
                <w:sz w:val="20"/>
                <w:szCs w:val="20"/>
                <w:color w:val="auto"/>
              </w:rPr>
            </w:pPr>
            <w:r>
              <w:rPr>
                <w:rFonts w:ascii="Arial" w:cs="Arial" w:eastAsia="Arial" w:hAnsi="Arial"/>
                <w:sz w:val="16"/>
                <w:szCs w:val="16"/>
                <w:b w:val="1"/>
                <w:bCs w:val="1"/>
                <w:color w:val="1478A3"/>
              </w:rPr>
              <w:t>Maximum</w:t>
            </w:r>
          </w:p>
        </w:tc>
        <w:tc>
          <w:tcPr>
            <w:tcW w:w="180" w:type="dxa"/>
            <w:vAlign w:val="bottom"/>
            <w:shd w:val="clear" w:color="auto" w:fill="E3EAEE"/>
          </w:tcPr>
          <w:p>
            <w:pPr>
              <w:spacing w:after="0"/>
              <w:rPr>
                <w:sz w:val="17"/>
                <w:szCs w:val="17"/>
                <w:color w:val="auto"/>
              </w:rPr>
            </w:pPr>
          </w:p>
        </w:tc>
        <w:tc>
          <w:tcPr>
            <w:tcW w:w="1400" w:type="dxa"/>
            <w:vAlign w:val="bottom"/>
            <w:shd w:val="clear" w:color="auto" w:fill="E3EAEE"/>
          </w:tcPr>
          <w:p>
            <w:pPr>
              <w:jc w:val="right"/>
              <w:ind w:right="79"/>
              <w:spacing w:after="0"/>
              <w:rPr>
                <w:sz w:val="20"/>
                <w:szCs w:val="20"/>
                <w:color w:val="auto"/>
              </w:rPr>
            </w:pPr>
            <w:r>
              <w:rPr>
                <w:rFonts w:ascii="Arial" w:cs="Arial" w:eastAsia="Arial" w:hAnsi="Arial"/>
                <w:sz w:val="16"/>
                <w:szCs w:val="16"/>
                <w:b w:val="1"/>
                <w:bCs w:val="1"/>
                <w:color w:val="1478A3"/>
              </w:rPr>
              <w:t>Actual</w:t>
            </w:r>
          </w:p>
        </w:tc>
        <w:tc>
          <w:tcPr>
            <w:tcW w:w="140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Goal Achieved</w:t>
            </w:r>
          </w:p>
        </w:tc>
        <w:tc>
          <w:tcPr>
            <w:tcW w:w="0" w:type="dxa"/>
            <w:vAlign w:val="bottom"/>
          </w:tcPr>
          <w:p>
            <w:pPr>
              <w:spacing w:after="0"/>
              <w:rPr>
                <w:sz w:val="1"/>
                <w:szCs w:val="1"/>
                <w:color w:val="auto"/>
              </w:rPr>
            </w:pPr>
          </w:p>
        </w:tc>
      </w:tr>
      <w:tr>
        <w:trPr>
          <w:trHeight w:val="244"/>
        </w:trPr>
        <w:tc>
          <w:tcPr>
            <w:tcW w:w="2520" w:type="dxa"/>
            <w:vAlign w:val="bottom"/>
            <w:tcBorders>
              <w:bottom w:val="single" w:sz="8" w:color="E3EAEE"/>
            </w:tcBorders>
            <w:shd w:val="clear" w:color="auto" w:fill="E3EAEE"/>
          </w:tcPr>
          <w:p>
            <w:pPr>
              <w:spacing w:after="0"/>
              <w:rPr>
                <w:sz w:val="21"/>
                <w:szCs w:val="21"/>
                <w:color w:val="auto"/>
              </w:rPr>
            </w:pPr>
          </w:p>
        </w:tc>
        <w:tc>
          <w:tcPr>
            <w:tcW w:w="134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b w:val="1"/>
                <w:bCs w:val="1"/>
                <w:color w:val="1478A3"/>
              </w:rPr>
              <w:t>(%)</w:t>
            </w:r>
          </w:p>
        </w:tc>
        <w:tc>
          <w:tcPr>
            <w:tcW w:w="120" w:type="dxa"/>
            <w:vAlign w:val="bottom"/>
            <w:tcBorders>
              <w:bottom w:val="single" w:sz="8" w:color="E3EAEE"/>
            </w:tcBorders>
            <w:shd w:val="clear" w:color="auto" w:fill="E3EAEE"/>
          </w:tcPr>
          <w:p>
            <w:pPr>
              <w:spacing w:after="0"/>
              <w:rPr>
                <w:sz w:val="21"/>
                <w:szCs w:val="21"/>
                <w:color w:val="auto"/>
              </w:rPr>
            </w:pPr>
          </w:p>
        </w:tc>
        <w:tc>
          <w:tcPr>
            <w:tcW w:w="1360" w:type="dxa"/>
            <w:vAlign w:val="bottom"/>
            <w:tcBorders>
              <w:bottom w:val="single" w:sz="8" w:color="E3EAEE"/>
            </w:tcBorders>
            <w:shd w:val="clear" w:color="auto" w:fill="E3EAEE"/>
          </w:tcPr>
          <w:p>
            <w:pPr>
              <w:spacing w:after="0"/>
              <w:rPr>
                <w:sz w:val="21"/>
                <w:szCs w:val="21"/>
                <w:color w:val="auto"/>
              </w:rPr>
            </w:pPr>
          </w:p>
        </w:tc>
        <w:tc>
          <w:tcPr>
            <w:tcW w:w="200" w:type="dxa"/>
            <w:vAlign w:val="bottom"/>
            <w:tcBorders>
              <w:bottom w:val="single" w:sz="8" w:color="E3EAEE"/>
            </w:tcBorders>
            <w:shd w:val="clear" w:color="auto" w:fill="E3EAEE"/>
          </w:tcPr>
          <w:p>
            <w:pPr>
              <w:spacing w:after="0"/>
              <w:rPr>
                <w:sz w:val="21"/>
                <w:szCs w:val="21"/>
                <w:color w:val="auto"/>
              </w:rPr>
            </w:pPr>
          </w:p>
        </w:tc>
        <w:tc>
          <w:tcPr>
            <w:tcW w:w="1240" w:type="dxa"/>
            <w:vAlign w:val="bottom"/>
            <w:tcBorders>
              <w:bottom w:val="single" w:sz="8" w:color="E3EAEE"/>
            </w:tcBorders>
            <w:shd w:val="clear" w:color="auto" w:fill="E3EAEE"/>
          </w:tcPr>
          <w:p>
            <w:pPr>
              <w:spacing w:after="0"/>
              <w:rPr>
                <w:sz w:val="21"/>
                <w:szCs w:val="21"/>
                <w:color w:val="auto"/>
              </w:rPr>
            </w:pPr>
          </w:p>
        </w:tc>
        <w:tc>
          <w:tcPr>
            <w:tcW w:w="640" w:type="dxa"/>
            <w:vAlign w:val="bottom"/>
            <w:tcBorders>
              <w:bottom w:val="single" w:sz="8" w:color="E3EAEE"/>
            </w:tcBorders>
            <w:shd w:val="clear" w:color="auto" w:fill="E3EAEE"/>
          </w:tcPr>
          <w:p>
            <w:pPr>
              <w:spacing w:after="0"/>
              <w:rPr>
                <w:sz w:val="21"/>
                <w:szCs w:val="21"/>
                <w:color w:val="auto"/>
              </w:rPr>
            </w:pPr>
          </w:p>
        </w:tc>
        <w:tc>
          <w:tcPr>
            <w:tcW w:w="840" w:type="dxa"/>
            <w:vAlign w:val="bottom"/>
            <w:tcBorders>
              <w:bottom w:val="single" w:sz="8" w:color="E3EAEE"/>
            </w:tcBorders>
            <w:shd w:val="clear" w:color="auto" w:fill="E3EAEE"/>
          </w:tcPr>
          <w:p>
            <w:pPr>
              <w:spacing w:after="0"/>
              <w:rPr>
                <w:sz w:val="21"/>
                <w:szCs w:val="21"/>
                <w:color w:val="auto"/>
              </w:rPr>
            </w:pPr>
          </w:p>
        </w:tc>
        <w:tc>
          <w:tcPr>
            <w:tcW w:w="180" w:type="dxa"/>
            <w:vAlign w:val="bottom"/>
            <w:tcBorders>
              <w:bottom w:val="single" w:sz="8" w:color="E3EAEE"/>
            </w:tcBorders>
            <w:shd w:val="clear" w:color="auto" w:fill="E3EAEE"/>
          </w:tcPr>
          <w:p>
            <w:pPr>
              <w:spacing w:after="0"/>
              <w:rPr>
                <w:sz w:val="21"/>
                <w:szCs w:val="21"/>
                <w:color w:val="auto"/>
              </w:rPr>
            </w:pPr>
          </w:p>
        </w:tc>
        <w:tc>
          <w:tcPr>
            <w:tcW w:w="1400" w:type="dxa"/>
            <w:vAlign w:val="bottom"/>
            <w:tcBorders>
              <w:bottom w:val="single" w:sz="8" w:color="E3EAEE"/>
            </w:tcBorders>
            <w:shd w:val="clear" w:color="auto" w:fill="E3EAEE"/>
          </w:tcPr>
          <w:p>
            <w:pPr>
              <w:spacing w:after="0"/>
              <w:rPr>
                <w:sz w:val="21"/>
                <w:szCs w:val="21"/>
                <w:color w:val="auto"/>
              </w:rPr>
            </w:pPr>
          </w:p>
        </w:tc>
        <w:tc>
          <w:tcPr>
            <w:tcW w:w="1400" w:type="dxa"/>
            <w:vAlign w:val="bottom"/>
            <w:tcBorders>
              <w:bottom w:val="single" w:sz="8" w:color="E3EAEE"/>
            </w:tcBorders>
            <w:shd w:val="clear" w:color="auto" w:fill="E3EAE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520" w:type="dxa"/>
            <w:vAlign w:val="bottom"/>
          </w:tcPr>
          <w:p>
            <w:pPr>
              <w:ind w:left="140"/>
              <w:spacing w:after="0"/>
              <w:rPr>
                <w:sz w:val="20"/>
                <w:szCs w:val="20"/>
                <w:color w:val="auto"/>
              </w:rPr>
            </w:pPr>
            <w:r>
              <w:rPr>
                <w:rFonts w:ascii="Arial" w:cs="Arial" w:eastAsia="Arial" w:hAnsi="Arial"/>
                <w:sz w:val="16"/>
                <w:szCs w:val="16"/>
                <w:color w:val="3E474E"/>
              </w:rPr>
              <w:t>Corporate</w:t>
            </w:r>
          </w:p>
        </w:tc>
        <w:tc>
          <w:tcPr>
            <w:tcW w:w="1340" w:type="dxa"/>
            <w:vAlign w:val="bottom"/>
            <w:tcBorders>
              <w:top w:val="single" w:sz="8" w:color="007AA7"/>
            </w:tcBorders>
          </w:tcPr>
          <w:p>
            <w:pPr>
              <w:spacing w:after="0"/>
              <w:rPr>
                <w:sz w:val="18"/>
                <w:szCs w:val="18"/>
                <w:color w:val="auto"/>
              </w:rPr>
            </w:pPr>
          </w:p>
        </w:tc>
        <w:tc>
          <w:tcPr>
            <w:tcW w:w="120" w:type="dxa"/>
            <w:vAlign w:val="bottom"/>
            <w:tcBorders>
              <w:top w:val="single" w:sz="8" w:color="007AA7"/>
            </w:tcBorders>
          </w:tcPr>
          <w:p>
            <w:pPr>
              <w:spacing w:after="0"/>
              <w:rPr>
                <w:sz w:val="18"/>
                <w:szCs w:val="18"/>
                <w:color w:val="auto"/>
              </w:rPr>
            </w:pPr>
          </w:p>
        </w:tc>
        <w:tc>
          <w:tcPr>
            <w:tcW w:w="1360" w:type="dxa"/>
            <w:vAlign w:val="bottom"/>
            <w:tcBorders>
              <w:top w:val="single" w:sz="8" w:color="007AA7"/>
            </w:tcBorders>
          </w:tcPr>
          <w:p>
            <w:pPr>
              <w:spacing w:after="0"/>
              <w:rPr>
                <w:sz w:val="18"/>
                <w:szCs w:val="18"/>
                <w:color w:val="auto"/>
              </w:rPr>
            </w:pPr>
          </w:p>
        </w:tc>
        <w:tc>
          <w:tcPr>
            <w:tcW w:w="200" w:type="dxa"/>
            <w:vAlign w:val="bottom"/>
            <w:tcBorders>
              <w:top w:val="single" w:sz="8" w:color="007AA7"/>
            </w:tcBorders>
          </w:tcPr>
          <w:p>
            <w:pPr>
              <w:spacing w:after="0"/>
              <w:rPr>
                <w:sz w:val="18"/>
                <w:szCs w:val="18"/>
                <w:color w:val="auto"/>
              </w:rPr>
            </w:pPr>
          </w:p>
        </w:tc>
        <w:tc>
          <w:tcPr>
            <w:tcW w:w="1240" w:type="dxa"/>
            <w:vAlign w:val="bottom"/>
            <w:tcBorders>
              <w:top w:val="single" w:sz="8" w:color="007AA7"/>
            </w:tcBorders>
          </w:tcPr>
          <w:p>
            <w:pPr>
              <w:spacing w:after="0"/>
              <w:rPr>
                <w:sz w:val="18"/>
                <w:szCs w:val="18"/>
                <w:color w:val="auto"/>
              </w:rPr>
            </w:pPr>
          </w:p>
        </w:tc>
        <w:tc>
          <w:tcPr>
            <w:tcW w:w="640" w:type="dxa"/>
            <w:vAlign w:val="bottom"/>
            <w:tcBorders>
              <w:top w:val="single" w:sz="8" w:color="007AA7"/>
            </w:tcBorders>
          </w:tcPr>
          <w:p>
            <w:pPr>
              <w:spacing w:after="0"/>
              <w:rPr>
                <w:sz w:val="18"/>
                <w:szCs w:val="18"/>
                <w:color w:val="auto"/>
              </w:rPr>
            </w:pPr>
          </w:p>
        </w:tc>
        <w:tc>
          <w:tcPr>
            <w:tcW w:w="840" w:type="dxa"/>
            <w:vAlign w:val="bottom"/>
            <w:tcBorders>
              <w:top w:val="single" w:sz="8" w:color="007AA7"/>
            </w:tcBorders>
          </w:tcPr>
          <w:p>
            <w:pPr>
              <w:spacing w:after="0"/>
              <w:rPr>
                <w:sz w:val="18"/>
                <w:szCs w:val="18"/>
                <w:color w:val="auto"/>
              </w:rPr>
            </w:pPr>
          </w:p>
        </w:tc>
        <w:tc>
          <w:tcPr>
            <w:tcW w:w="180" w:type="dxa"/>
            <w:vAlign w:val="bottom"/>
            <w:tcBorders>
              <w:top w:val="single" w:sz="8" w:color="007AA7"/>
            </w:tcBorders>
          </w:tcPr>
          <w:p>
            <w:pPr>
              <w:spacing w:after="0"/>
              <w:rPr>
                <w:sz w:val="18"/>
                <w:szCs w:val="18"/>
                <w:color w:val="auto"/>
              </w:rPr>
            </w:pPr>
          </w:p>
        </w:tc>
        <w:tc>
          <w:tcPr>
            <w:tcW w:w="1400" w:type="dxa"/>
            <w:vAlign w:val="bottom"/>
            <w:tcBorders>
              <w:top w:val="single" w:sz="8" w:color="007AA7"/>
            </w:tcBorders>
          </w:tcPr>
          <w:p>
            <w:pPr>
              <w:spacing w:after="0"/>
              <w:rPr>
                <w:sz w:val="18"/>
                <w:szCs w:val="18"/>
                <w:color w:val="auto"/>
              </w:rPr>
            </w:pPr>
          </w:p>
        </w:tc>
        <w:tc>
          <w:tcPr>
            <w:tcW w:w="1400" w:type="dxa"/>
            <w:vAlign w:val="bottom"/>
            <w:tcBorders>
              <w:top w:val="single" w:sz="8" w:color="007AA7"/>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520" w:type="dxa"/>
            <w:vAlign w:val="bottom"/>
            <w:shd w:val="clear" w:color="auto" w:fill="E3EAEE"/>
          </w:tcPr>
          <w:p>
            <w:pPr>
              <w:ind w:left="360"/>
              <w:spacing w:after="0"/>
              <w:rPr>
                <w:sz w:val="20"/>
                <w:szCs w:val="20"/>
                <w:color w:val="auto"/>
              </w:rPr>
            </w:pPr>
            <w:r>
              <w:rPr>
                <w:rFonts w:ascii="Arial" w:cs="Arial" w:eastAsia="Arial" w:hAnsi="Arial"/>
                <w:sz w:val="16"/>
                <w:szCs w:val="16"/>
                <w:color w:val="3E474E"/>
              </w:rPr>
              <w:t>Normalized FFO/Share</w:t>
            </w:r>
          </w:p>
        </w:tc>
        <w:tc>
          <w:tcPr>
            <w:tcW w:w="134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50</w:t>
            </w:r>
          </w:p>
        </w:tc>
        <w:tc>
          <w:tcPr>
            <w:tcW w:w="120" w:type="dxa"/>
            <w:vAlign w:val="bottom"/>
            <w:shd w:val="clear" w:color="auto" w:fill="E3EAEE"/>
          </w:tcPr>
          <w:p>
            <w:pPr>
              <w:jc w:val="right"/>
              <w:spacing w:after="0"/>
              <w:rPr>
                <w:sz w:val="20"/>
                <w:szCs w:val="20"/>
                <w:color w:val="auto"/>
              </w:rPr>
            </w:pPr>
            <w:r>
              <w:rPr>
                <w:rFonts w:ascii="Arial" w:cs="Arial" w:eastAsia="Arial" w:hAnsi="Arial"/>
                <w:sz w:val="16"/>
                <w:szCs w:val="16"/>
                <w:color w:val="3E474E"/>
                <w:w w:val="89"/>
              </w:rPr>
              <w:t>$</w:t>
            </w:r>
          </w:p>
        </w:tc>
        <w:tc>
          <w:tcPr>
            <w:tcW w:w="1360" w:type="dxa"/>
            <w:vAlign w:val="bottom"/>
            <w:shd w:val="clear" w:color="auto" w:fill="E3EAEE"/>
          </w:tcPr>
          <w:p>
            <w:pPr>
              <w:ind w:left="840"/>
              <w:spacing w:after="0"/>
              <w:rPr>
                <w:sz w:val="20"/>
                <w:szCs w:val="20"/>
                <w:color w:val="auto"/>
              </w:rPr>
            </w:pPr>
            <w:r>
              <w:rPr>
                <w:rFonts w:ascii="Arial" w:cs="Arial" w:eastAsia="Arial" w:hAnsi="Arial"/>
                <w:sz w:val="16"/>
                <w:szCs w:val="16"/>
                <w:color w:val="3E474E"/>
              </w:rPr>
              <w:t>1.00</w:t>
            </w:r>
          </w:p>
        </w:tc>
        <w:tc>
          <w:tcPr>
            <w:tcW w:w="200" w:type="dxa"/>
            <w:vAlign w:val="bottom"/>
            <w:shd w:val="clear" w:color="auto" w:fill="E3EAEE"/>
          </w:tcPr>
          <w:p>
            <w:pPr>
              <w:jc w:val="right"/>
              <w:ind w:right="19"/>
              <w:spacing w:after="0"/>
              <w:rPr>
                <w:sz w:val="20"/>
                <w:szCs w:val="20"/>
                <w:color w:val="auto"/>
              </w:rPr>
            </w:pPr>
            <w:r>
              <w:rPr>
                <w:rFonts w:ascii="Arial" w:cs="Arial" w:eastAsia="Arial" w:hAnsi="Arial"/>
                <w:sz w:val="16"/>
                <w:szCs w:val="16"/>
                <w:color w:val="3E474E"/>
                <w:w w:val="89"/>
              </w:rPr>
              <w:t>$</w:t>
            </w:r>
          </w:p>
        </w:tc>
        <w:tc>
          <w:tcPr>
            <w:tcW w:w="1240" w:type="dxa"/>
            <w:vAlign w:val="bottom"/>
            <w:shd w:val="clear" w:color="auto" w:fill="E3EAEE"/>
          </w:tcPr>
          <w:p>
            <w:pPr>
              <w:ind w:left="700"/>
              <w:spacing w:after="0"/>
              <w:rPr>
                <w:sz w:val="20"/>
                <w:szCs w:val="20"/>
                <w:color w:val="auto"/>
              </w:rPr>
            </w:pPr>
            <w:r>
              <w:rPr>
                <w:rFonts w:ascii="Arial" w:cs="Arial" w:eastAsia="Arial" w:hAnsi="Arial"/>
                <w:sz w:val="16"/>
                <w:szCs w:val="16"/>
                <w:color w:val="3E474E"/>
              </w:rPr>
              <w:t>1.05</w:t>
            </w:r>
          </w:p>
        </w:tc>
        <w:tc>
          <w:tcPr>
            <w:tcW w:w="640" w:type="dxa"/>
            <w:vAlign w:val="bottom"/>
            <w:shd w:val="clear" w:color="auto" w:fill="E3EAEE"/>
          </w:tcPr>
          <w:p>
            <w:pPr>
              <w:jc w:val="right"/>
              <w:ind w:right="459"/>
              <w:spacing w:after="0"/>
              <w:rPr>
                <w:sz w:val="20"/>
                <w:szCs w:val="20"/>
                <w:color w:val="auto"/>
              </w:rPr>
            </w:pPr>
            <w:r>
              <w:rPr>
                <w:rFonts w:ascii="Arial" w:cs="Arial" w:eastAsia="Arial" w:hAnsi="Arial"/>
                <w:sz w:val="16"/>
                <w:szCs w:val="16"/>
                <w:color w:val="3E474E"/>
                <w:w w:val="89"/>
              </w:rPr>
              <w:t>$</w:t>
            </w:r>
          </w:p>
        </w:tc>
        <w:tc>
          <w:tcPr>
            <w:tcW w:w="840" w:type="dxa"/>
            <w:vAlign w:val="bottom"/>
            <w:shd w:val="clear" w:color="auto" w:fill="E3EAEE"/>
          </w:tcPr>
          <w:p>
            <w:pPr>
              <w:ind w:left="320"/>
              <w:spacing w:after="0"/>
              <w:rPr>
                <w:sz w:val="20"/>
                <w:szCs w:val="20"/>
                <w:color w:val="auto"/>
              </w:rPr>
            </w:pPr>
            <w:r>
              <w:rPr>
                <w:rFonts w:ascii="Arial" w:cs="Arial" w:eastAsia="Arial" w:hAnsi="Arial"/>
                <w:sz w:val="16"/>
                <w:szCs w:val="16"/>
                <w:color w:val="3E474E"/>
              </w:rPr>
              <w:t>1.10</w:t>
            </w:r>
          </w:p>
        </w:tc>
        <w:tc>
          <w:tcPr>
            <w:tcW w:w="180" w:type="dxa"/>
            <w:vAlign w:val="bottom"/>
            <w:shd w:val="clear" w:color="auto" w:fill="E3EAEE"/>
          </w:tcPr>
          <w:p>
            <w:pPr>
              <w:jc w:val="right"/>
              <w:spacing w:after="0"/>
              <w:rPr>
                <w:sz w:val="20"/>
                <w:szCs w:val="20"/>
                <w:color w:val="auto"/>
              </w:rPr>
            </w:pPr>
            <w:r>
              <w:rPr>
                <w:rFonts w:ascii="Arial" w:cs="Arial" w:eastAsia="Arial" w:hAnsi="Arial"/>
                <w:sz w:val="16"/>
                <w:szCs w:val="16"/>
                <w:color w:val="3E474E"/>
                <w:w w:val="89"/>
              </w:rPr>
              <w:t>$</w:t>
            </w:r>
          </w:p>
        </w:tc>
        <w:tc>
          <w:tcPr>
            <w:tcW w:w="1400" w:type="dxa"/>
            <w:vAlign w:val="bottom"/>
            <w:shd w:val="clear" w:color="auto" w:fill="E3EAEE"/>
          </w:tcPr>
          <w:p>
            <w:pPr>
              <w:jc w:val="right"/>
              <w:ind w:right="259"/>
              <w:spacing w:after="0"/>
              <w:rPr>
                <w:sz w:val="20"/>
                <w:szCs w:val="20"/>
                <w:color w:val="auto"/>
              </w:rPr>
            </w:pPr>
            <w:r>
              <w:rPr>
                <w:rFonts w:ascii="Arial" w:cs="Arial" w:eastAsia="Arial" w:hAnsi="Arial"/>
                <w:sz w:val="16"/>
                <w:szCs w:val="16"/>
                <w:color w:val="3E474E"/>
              </w:rPr>
              <w:t>1.08</w:t>
            </w:r>
          </w:p>
        </w:tc>
        <w:tc>
          <w:tcPr>
            <w:tcW w:w="14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130 %</w:t>
            </w:r>
          </w:p>
        </w:tc>
        <w:tc>
          <w:tcPr>
            <w:tcW w:w="0" w:type="dxa"/>
            <w:vAlign w:val="bottom"/>
          </w:tcPr>
          <w:p>
            <w:pPr>
              <w:spacing w:after="0"/>
              <w:rPr>
                <w:sz w:val="1"/>
                <w:szCs w:val="1"/>
                <w:color w:val="auto"/>
              </w:rPr>
            </w:pPr>
          </w:p>
        </w:tc>
      </w:tr>
      <w:tr>
        <w:trPr>
          <w:trHeight w:val="235"/>
        </w:trPr>
        <w:tc>
          <w:tcPr>
            <w:tcW w:w="2520" w:type="dxa"/>
            <w:vAlign w:val="bottom"/>
          </w:tcPr>
          <w:p>
            <w:pPr>
              <w:ind w:left="360"/>
              <w:spacing w:after="0"/>
              <w:rPr>
                <w:sz w:val="20"/>
                <w:szCs w:val="20"/>
                <w:color w:val="auto"/>
              </w:rPr>
            </w:pPr>
            <w:r>
              <w:rPr>
                <w:rFonts w:ascii="Arial" w:cs="Arial" w:eastAsia="Arial" w:hAnsi="Arial"/>
                <w:sz w:val="16"/>
                <w:szCs w:val="16"/>
                <w:color w:val="3E474E"/>
              </w:rPr>
              <w:t>Portfolio NOI Growth</w:t>
            </w:r>
          </w:p>
        </w:tc>
        <w:tc>
          <w:tcPr>
            <w:tcW w:w="1340" w:type="dxa"/>
            <w:vAlign w:val="bottom"/>
          </w:tcPr>
          <w:p>
            <w:pPr>
              <w:jc w:val="right"/>
              <w:spacing w:after="0"/>
              <w:rPr>
                <w:sz w:val="20"/>
                <w:szCs w:val="20"/>
                <w:color w:val="auto"/>
              </w:rPr>
            </w:pPr>
            <w:r>
              <w:rPr>
                <w:rFonts w:ascii="Arial" w:cs="Arial" w:eastAsia="Arial" w:hAnsi="Arial"/>
                <w:sz w:val="16"/>
                <w:szCs w:val="16"/>
                <w:color w:val="3E474E"/>
              </w:rPr>
              <w:t>20</w:t>
            </w:r>
          </w:p>
        </w:tc>
        <w:tc>
          <w:tcPr>
            <w:tcW w:w="120" w:type="dxa"/>
            <w:vAlign w:val="bottom"/>
          </w:tcPr>
          <w:p>
            <w:pPr>
              <w:spacing w:after="0"/>
              <w:rPr>
                <w:sz w:val="20"/>
                <w:szCs w:val="20"/>
                <w:color w:val="auto"/>
              </w:rPr>
            </w:pPr>
          </w:p>
        </w:tc>
        <w:tc>
          <w:tcPr>
            <w:tcW w:w="1360" w:type="dxa"/>
            <w:vAlign w:val="bottom"/>
          </w:tcPr>
          <w:p>
            <w:pPr>
              <w:ind w:left="840"/>
              <w:spacing w:after="0"/>
              <w:rPr>
                <w:sz w:val="20"/>
                <w:szCs w:val="20"/>
                <w:color w:val="auto"/>
              </w:rPr>
            </w:pPr>
            <w:r>
              <w:rPr>
                <w:rFonts w:ascii="Arial" w:cs="Arial" w:eastAsia="Arial" w:hAnsi="Arial"/>
                <w:sz w:val="16"/>
                <w:szCs w:val="16"/>
                <w:color w:val="3E474E"/>
              </w:rPr>
              <w:t>1.00 %</w:t>
            </w:r>
          </w:p>
        </w:tc>
        <w:tc>
          <w:tcPr>
            <w:tcW w:w="200" w:type="dxa"/>
            <w:vAlign w:val="bottom"/>
          </w:tcPr>
          <w:p>
            <w:pPr>
              <w:spacing w:after="0"/>
              <w:rPr>
                <w:sz w:val="20"/>
                <w:szCs w:val="20"/>
                <w:color w:val="auto"/>
              </w:rPr>
            </w:pPr>
          </w:p>
        </w:tc>
        <w:tc>
          <w:tcPr>
            <w:tcW w:w="1240" w:type="dxa"/>
            <w:vAlign w:val="bottom"/>
          </w:tcPr>
          <w:p>
            <w:pPr>
              <w:ind w:left="700"/>
              <w:spacing w:after="0"/>
              <w:rPr>
                <w:sz w:val="20"/>
                <w:szCs w:val="20"/>
                <w:color w:val="auto"/>
              </w:rPr>
            </w:pPr>
            <w:r>
              <w:rPr>
                <w:rFonts w:ascii="Arial" w:cs="Arial" w:eastAsia="Arial" w:hAnsi="Arial"/>
                <w:sz w:val="16"/>
                <w:szCs w:val="16"/>
                <w:color w:val="3E474E"/>
              </w:rPr>
              <w:t>1.50 %</w:t>
            </w:r>
          </w:p>
        </w:tc>
        <w:tc>
          <w:tcPr>
            <w:tcW w:w="640" w:type="dxa"/>
            <w:vAlign w:val="bottom"/>
          </w:tcPr>
          <w:p>
            <w:pPr>
              <w:spacing w:after="0"/>
              <w:rPr>
                <w:sz w:val="20"/>
                <w:szCs w:val="20"/>
                <w:color w:val="auto"/>
              </w:rPr>
            </w:pPr>
          </w:p>
        </w:tc>
        <w:tc>
          <w:tcPr>
            <w:tcW w:w="840" w:type="dxa"/>
            <w:vAlign w:val="bottom"/>
          </w:tcPr>
          <w:p>
            <w:pPr>
              <w:ind w:left="320"/>
              <w:spacing w:after="0"/>
              <w:rPr>
                <w:sz w:val="20"/>
                <w:szCs w:val="20"/>
                <w:color w:val="auto"/>
              </w:rPr>
            </w:pPr>
            <w:r>
              <w:rPr>
                <w:rFonts w:ascii="Arial" w:cs="Arial" w:eastAsia="Arial" w:hAnsi="Arial"/>
                <w:sz w:val="16"/>
                <w:szCs w:val="16"/>
                <w:color w:val="3E474E"/>
              </w:rPr>
              <w:t>2.00 %</w:t>
            </w:r>
          </w:p>
        </w:tc>
        <w:tc>
          <w:tcPr>
            <w:tcW w:w="18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3E474E"/>
              </w:rPr>
              <w:t>3.87 %</w:t>
            </w:r>
          </w:p>
        </w:tc>
        <w:tc>
          <w:tcPr>
            <w:tcW w:w="1400" w:type="dxa"/>
            <w:vAlign w:val="bottom"/>
          </w:tcPr>
          <w:p>
            <w:pPr>
              <w:jc w:val="right"/>
              <w:spacing w:after="0"/>
              <w:rPr>
                <w:sz w:val="20"/>
                <w:szCs w:val="20"/>
                <w:color w:val="auto"/>
              </w:rPr>
            </w:pPr>
            <w:r>
              <w:rPr>
                <w:rFonts w:ascii="Arial" w:cs="Arial" w:eastAsia="Arial" w:hAnsi="Arial"/>
                <w:sz w:val="16"/>
                <w:szCs w:val="16"/>
                <w:color w:val="3E474E"/>
              </w:rPr>
              <w:t>150 %</w:t>
            </w:r>
          </w:p>
        </w:tc>
        <w:tc>
          <w:tcPr>
            <w:tcW w:w="0" w:type="dxa"/>
            <w:vAlign w:val="bottom"/>
          </w:tcPr>
          <w:p>
            <w:pPr>
              <w:spacing w:after="0"/>
              <w:rPr>
                <w:sz w:val="1"/>
                <w:szCs w:val="1"/>
                <w:color w:val="auto"/>
              </w:rPr>
            </w:pPr>
          </w:p>
        </w:tc>
      </w:tr>
      <w:tr>
        <w:trPr>
          <w:trHeight w:val="232"/>
        </w:trPr>
        <w:tc>
          <w:tcPr>
            <w:tcW w:w="2520" w:type="dxa"/>
            <w:vAlign w:val="bottom"/>
            <w:shd w:val="clear" w:color="auto" w:fill="E3EAEE"/>
          </w:tcPr>
          <w:p>
            <w:pPr>
              <w:ind w:left="360"/>
              <w:spacing w:after="0"/>
              <w:rPr>
                <w:sz w:val="20"/>
                <w:szCs w:val="20"/>
                <w:color w:val="auto"/>
              </w:rPr>
            </w:pPr>
            <w:r>
              <w:rPr>
                <w:rFonts w:ascii="Arial" w:cs="Arial" w:eastAsia="Arial" w:hAnsi="Arial"/>
                <w:sz w:val="18"/>
                <w:szCs w:val="18"/>
                <w:color w:val="3E474E"/>
              </w:rPr>
              <w:t>Multifamily Same-Store</w:t>
            </w:r>
          </w:p>
        </w:tc>
        <w:tc>
          <w:tcPr>
            <w:tcW w:w="134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10</w:t>
            </w:r>
          </w:p>
        </w:tc>
        <w:tc>
          <w:tcPr>
            <w:tcW w:w="120" w:type="dxa"/>
            <w:vAlign w:val="bottom"/>
            <w:shd w:val="clear" w:color="auto" w:fill="E3EAEE"/>
          </w:tcPr>
          <w:p>
            <w:pPr>
              <w:spacing w:after="0"/>
              <w:rPr>
                <w:sz w:val="20"/>
                <w:szCs w:val="20"/>
                <w:color w:val="auto"/>
              </w:rPr>
            </w:pPr>
          </w:p>
        </w:tc>
        <w:tc>
          <w:tcPr>
            <w:tcW w:w="1360" w:type="dxa"/>
            <w:vAlign w:val="bottom"/>
            <w:shd w:val="clear" w:color="auto" w:fill="E3EAEE"/>
          </w:tcPr>
          <w:p>
            <w:pPr>
              <w:ind w:left="840"/>
              <w:spacing w:after="0"/>
              <w:rPr>
                <w:sz w:val="20"/>
                <w:szCs w:val="20"/>
                <w:color w:val="auto"/>
              </w:rPr>
            </w:pPr>
            <w:r>
              <w:rPr>
                <w:rFonts w:ascii="Arial" w:cs="Arial" w:eastAsia="Arial" w:hAnsi="Arial"/>
                <w:sz w:val="16"/>
                <w:szCs w:val="16"/>
                <w:color w:val="3E474E"/>
              </w:rPr>
              <w:t>1.00 %</w:t>
            </w:r>
          </w:p>
        </w:tc>
        <w:tc>
          <w:tcPr>
            <w:tcW w:w="200" w:type="dxa"/>
            <w:vAlign w:val="bottom"/>
            <w:shd w:val="clear" w:color="auto" w:fill="E3EAEE"/>
          </w:tcPr>
          <w:p>
            <w:pPr>
              <w:spacing w:after="0"/>
              <w:rPr>
                <w:sz w:val="20"/>
                <w:szCs w:val="20"/>
                <w:color w:val="auto"/>
              </w:rPr>
            </w:pPr>
          </w:p>
        </w:tc>
        <w:tc>
          <w:tcPr>
            <w:tcW w:w="1240" w:type="dxa"/>
            <w:vAlign w:val="bottom"/>
            <w:shd w:val="clear" w:color="auto" w:fill="E3EAEE"/>
          </w:tcPr>
          <w:p>
            <w:pPr>
              <w:ind w:left="700"/>
              <w:spacing w:after="0"/>
              <w:rPr>
                <w:sz w:val="20"/>
                <w:szCs w:val="20"/>
                <w:color w:val="auto"/>
              </w:rPr>
            </w:pPr>
            <w:r>
              <w:rPr>
                <w:rFonts w:ascii="Arial" w:cs="Arial" w:eastAsia="Arial" w:hAnsi="Arial"/>
                <w:sz w:val="16"/>
                <w:szCs w:val="16"/>
                <w:color w:val="3E474E"/>
              </w:rPr>
              <w:t>1.50 %</w:t>
            </w:r>
          </w:p>
        </w:tc>
        <w:tc>
          <w:tcPr>
            <w:tcW w:w="640" w:type="dxa"/>
            <w:vAlign w:val="bottom"/>
            <w:shd w:val="clear" w:color="auto" w:fill="E3EAEE"/>
          </w:tcPr>
          <w:p>
            <w:pPr>
              <w:spacing w:after="0"/>
              <w:rPr>
                <w:sz w:val="20"/>
                <w:szCs w:val="20"/>
                <w:color w:val="auto"/>
              </w:rPr>
            </w:pPr>
          </w:p>
        </w:tc>
        <w:tc>
          <w:tcPr>
            <w:tcW w:w="840" w:type="dxa"/>
            <w:vAlign w:val="bottom"/>
            <w:shd w:val="clear" w:color="auto" w:fill="E3EAEE"/>
          </w:tcPr>
          <w:p>
            <w:pPr>
              <w:ind w:left="320"/>
              <w:spacing w:after="0"/>
              <w:rPr>
                <w:sz w:val="20"/>
                <w:szCs w:val="20"/>
                <w:color w:val="auto"/>
              </w:rPr>
            </w:pPr>
            <w:r>
              <w:rPr>
                <w:rFonts w:ascii="Arial" w:cs="Arial" w:eastAsia="Arial" w:hAnsi="Arial"/>
                <w:sz w:val="16"/>
                <w:szCs w:val="16"/>
                <w:color w:val="3E474E"/>
              </w:rPr>
              <w:t>2.00 %</w:t>
            </w:r>
          </w:p>
        </w:tc>
        <w:tc>
          <w:tcPr>
            <w:tcW w:w="180" w:type="dxa"/>
            <w:vAlign w:val="bottom"/>
            <w:shd w:val="clear" w:color="auto" w:fill="E3EAEE"/>
          </w:tcPr>
          <w:p>
            <w:pPr>
              <w:spacing w:after="0"/>
              <w:rPr>
                <w:sz w:val="20"/>
                <w:szCs w:val="20"/>
                <w:color w:val="auto"/>
              </w:rPr>
            </w:pPr>
          </w:p>
        </w:tc>
        <w:tc>
          <w:tcPr>
            <w:tcW w:w="1400" w:type="dxa"/>
            <w:vAlign w:val="bottom"/>
            <w:shd w:val="clear" w:color="auto" w:fill="E3EAEE"/>
          </w:tcPr>
          <w:p>
            <w:pPr>
              <w:jc w:val="right"/>
              <w:ind w:right="79"/>
              <w:spacing w:after="0"/>
              <w:rPr>
                <w:sz w:val="20"/>
                <w:szCs w:val="20"/>
                <w:color w:val="auto"/>
              </w:rPr>
            </w:pPr>
            <w:r>
              <w:rPr>
                <w:rFonts w:ascii="Arial" w:cs="Arial" w:eastAsia="Arial" w:hAnsi="Arial"/>
                <w:sz w:val="16"/>
                <w:szCs w:val="16"/>
                <w:color w:val="3E474E"/>
              </w:rPr>
              <w:t>0.11 %</w:t>
            </w:r>
          </w:p>
        </w:tc>
        <w:tc>
          <w:tcPr>
            <w:tcW w:w="14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 %</w:t>
            </w:r>
          </w:p>
        </w:tc>
        <w:tc>
          <w:tcPr>
            <w:tcW w:w="0" w:type="dxa"/>
            <w:vAlign w:val="bottom"/>
          </w:tcPr>
          <w:p>
            <w:pPr>
              <w:spacing w:after="0"/>
              <w:rPr>
                <w:sz w:val="1"/>
                <w:szCs w:val="1"/>
                <w:color w:val="auto"/>
              </w:rPr>
            </w:pPr>
          </w:p>
        </w:tc>
      </w:tr>
      <w:tr>
        <w:trPr>
          <w:trHeight w:val="242"/>
        </w:trPr>
        <w:tc>
          <w:tcPr>
            <w:tcW w:w="2520" w:type="dxa"/>
            <w:vAlign w:val="bottom"/>
            <w:tcBorders>
              <w:bottom w:val="single" w:sz="8" w:color="E3EAEE"/>
            </w:tcBorders>
            <w:shd w:val="clear" w:color="auto" w:fill="E3EAEE"/>
          </w:tcPr>
          <w:p>
            <w:pPr>
              <w:ind w:left="100"/>
              <w:spacing w:after="0"/>
              <w:rPr>
                <w:sz w:val="20"/>
                <w:szCs w:val="20"/>
                <w:color w:val="auto"/>
              </w:rPr>
            </w:pPr>
            <w:r>
              <w:rPr>
                <w:rFonts w:ascii="Arial" w:cs="Arial" w:eastAsia="Arial" w:hAnsi="Arial"/>
                <w:sz w:val="18"/>
                <w:szCs w:val="18"/>
                <w:color w:val="3E474E"/>
              </w:rPr>
              <w:t>NOI Growth</w:t>
            </w:r>
          </w:p>
        </w:tc>
        <w:tc>
          <w:tcPr>
            <w:tcW w:w="1340" w:type="dxa"/>
            <w:vAlign w:val="bottom"/>
            <w:tcBorders>
              <w:bottom w:val="single" w:sz="8" w:color="E3EAEE"/>
            </w:tcBorders>
            <w:shd w:val="clear" w:color="auto" w:fill="E3EAEE"/>
          </w:tcPr>
          <w:p>
            <w:pPr>
              <w:spacing w:after="0"/>
              <w:rPr>
                <w:sz w:val="21"/>
                <w:szCs w:val="21"/>
                <w:color w:val="auto"/>
              </w:rPr>
            </w:pPr>
          </w:p>
        </w:tc>
        <w:tc>
          <w:tcPr>
            <w:tcW w:w="120" w:type="dxa"/>
            <w:vAlign w:val="bottom"/>
            <w:tcBorders>
              <w:bottom w:val="single" w:sz="8" w:color="E3EAEE"/>
            </w:tcBorders>
            <w:shd w:val="clear" w:color="auto" w:fill="E3EAEE"/>
          </w:tcPr>
          <w:p>
            <w:pPr>
              <w:spacing w:after="0"/>
              <w:rPr>
                <w:sz w:val="21"/>
                <w:szCs w:val="21"/>
                <w:color w:val="auto"/>
              </w:rPr>
            </w:pPr>
          </w:p>
        </w:tc>
        <w:tc>
          <w:tcPr>
            <w:tcW w:w="1360" w:type="dxa"/>
            <w:vAlign w:val="bottom"/>
            <w:tcBorders>
              <w:bottom w:val="single" w:sz="8" w:color="E3EAEE"/>
            </w:tcBorders>
            <w:shd w:val="clear" w:color="auto" w:fill="E3EAEE"/>
          </w:tcPr>
          <w:p>
            <w:pPr>
              <w:spacing w:after="0"/>
              <w:rPr>
                <w:sz w:val="21"/>
                <w:szCs w:val="21"/>
                <w:color w:val="auto"/>
              </w:rPr>
            </w:pPr>
          </w:p>
        </w:tc>
        <w:tc>
          <w:tcPr>
            <w:tcW w:w="200" w:type="dxa"/>
            <w:vAlign w:val="bottom"/>
            <w:tcBorders>
              <w:bottom w:val="single" w:sz="8" w:color="E3EAEE"/>
            </w:tcBorders>
            <w:shd w:val="clear" w:color="auto" w:fill="E3EAEE"/>
          </w:tcPr>
          <w:p>
            <w:pPr>
              <w:spacing w:after="0"/>
              <w:rPr>
                <w:sz w:val="21"/>
                <w:szCs w:val="21"/>
                <w:color w:val="auto"/>
              </w:rPr>
            </w:pPr>
          </w:p>
        </w:tc>
        <w:tc>
          <w:tcPr>
            <w:tcW w:w="1240" w:type="dxa"/>
            <w:vAlign w:val="bottom"/>
            <w:tcBorders>
              <w:bottom w:val="single" w:sz="8" w:color="E3EAEE"/>
            </w:tcBorders>
            <w:shd w:val="clear" w:color="auto" w:fill="E3EAEE"/>
          </w:tcPr>
          <w:p>
            <w:pPr>
              <w:spacing w:after="0"/>
              <w:rPr>
                <w:sz w:val="21"/>
                <w:szCs w:val="21"/>
                <w:color w:val="auto"/>
              </w:rPr>
            </w:pPr>
          </w:p>
        </w:tc>
        <w:tc>
          <w:tcPr>
            <w:tcW w:w="640" w:type="dxa"/>
            <w:vAlign w:val="bottom"/>
            <w:tcBorders>
              <w:bottom w:val="single" w:sz="8" w:color="E3EAEE"/>
            </w:tcBorders>
            <w:shd w:val="clear" w:color="auto" w:fill="E3EAEE"/>
          </w:tcPr>
          <w:p>
            <w:pPr>
              <w:spacing w:after="0"/>
              <w:rPr>
                <w:sz w:val="21"/>
                <w:szCs w:val="21"/>
                <w:color w:val="auto"/>
              </w:rPr>
            </w:pPr>
          </w:p>
        </w:tc>
        <w:tc>
          <w:tcPr>
            <w:tcW w:w="840" w:type="dxa"/>
            <w:vAlign w:val="bottom"/>
            <w:tcBorders>
              <w:bottom w:val="single" w:sz="8" w:color="E3EAEE"/>
            </w:tcBorders>
            <w:shd w:val="clear" w:color="auto" w:fill="E3EAEE"/>
          </w:tcPr>
          <w:p>
            <w:pPr>
              <w:spacing w:after="0"/>
              <w:rPr>
                <w:sz w:val="21"/>
                <w:szCs w:val="21"/>
                <w:color w:val="auto"/>
              </w:rPr>
            </w:pPr>
          </w:p>
        </w:tc>
        <w:tc>
          <w:tcPr>
            <w:tcW w:w="180" w:type="dxa"/>
            <w:vAlign w:val="bottom"/>
            <w:tcBorders>
              <w:bottom w:val="single" w:sz="8" w:color="E3EAEE"/>
            </w:tcBorders>
            <w:shd w:val="clear" w:color="auto" w:fill="E3EAEE"/>
          </w:tcPr>
          <w:p>
            <w:pPr>
              <w:spacing w:after="0"/>
              <w:rPr>
                <w:sz w:val="21"/>
                <w:szCs w:val="21"/>
                <w:color w:val="auto"/>
              </w:rPr>
            </w:pPr>
          </w:p>
        </w:tc>
        <w:tc>
          <w:tcPr>
            <w:tcW w:w="1400" w:type="dxa"/>
            <w:vAlign w:val="bottom"/>
            <w:tcBorders>
              <w:bottom w:val="single" w:sz="8" w:color="E3EAEE"/>
            </w:tcBorders>
            <w:shd w:val="clear" w:color="auto" w:fill="E3EAEE"/>
          </w:tcPr>
          <w:p>
            <w:pPr>
              <w:spacing w:after="0"/>
              <w:rPr>
                <w:sz w:val="21"/>
                <w:szCs w:val="21"/>
                <w:color w:val="auto"/>
              </w:rPr>
            </w:pPr>
          </w:p>
        </w:tc>
        <w:tc>
          <w:tcPr>
            <w:tcW w:w="1400" w:type="dxa"/>
            <w:vAlign w:val="bottom"/>
            <w:tcBorders>
              <w:bottom w:val="single" w:sz="8" w:color="E3EAEE"/>
            </w:tcBorders>
            <w:shd w:val="clear" w:color="auto" w:fill="E3EAE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520" w:type="dxa"/>
            <w:vAlign w:val="bottom"/>
            <w:vMerge w:val="restart"/>
          </w:tcPr>
          <w:p>
            <w:pPr>
              <w:ind w:left="140"/>
              <w:spacing w:after="0"/>
              <w:rPr>
                <w:sz w:val="20"/>
                <w:szCs w:val="20"/>
                <w:color w:val="auto"/>
              </w:rPr>
            </w:pPr>
            <w:r>
              <w:rPr>
                <w:rFonts w:ascii="Arial" w:cs="Arial" w:eastAsia="Arial" w:hAnsi="Arial"/>
                <w:sz w:val="16"/>
                <w:szCs w:val="16"/>
                <w:color w:val="3E474E"/>
              </w:rPr>
              <w:t>Individual Goals</w:t>
            </w:r>
          </w:p>
        </w:tc>
        <w:tc>
          <w:tcPr>
            <w:tcW w:w="1340" w:type="dxa"/>
            <w:vAlign w:val="bottom"/>
          </w:tcPr>
          <w:p>
            <w:pPr>
              <w:jc w:val="right"/>
              <w:spacing w:after="0"/>
              <w:rPr>
                <w:sz w:val="20"/>
                <w:szCs w:val="20"/>
                <w:color w:val="auto"/>
              </w:rPr>
            </w:pPr>
            <w:r>
              <w:rPr>
                <w:rFonts w:ascii="Arial" w:cs="Arial" w:eastAsia="Arial" w:hAnsi="Arial"/>
                <w:sz w:val="16"/>
                <w:szCs w:val="16"/>
                <w:color w:val="3E474E"/>
              </w:rPr>
              <w:t>20</w:t>
            </w:r>
          </w:p>
        </w:tc>
        <w:tc>
          <w:tcPr>
            <w:tcW w:w="120" w:type="dxa"/>
            <w:vAlign w:val="bottom"/>
          </w:tcPr>
          <w:p>
            <w:pPr>
              <w:spacing w:after="0"/>
              <w:rPr>
                <w:sz w:val="17"/>
                <w:szCs w:val="17"/>
                <w:color w:val="auto"/>
              </w:rPr>
            </w:pPr>
          </w:p>
        </w:tc>
        <w:tc>
          <w:tcPr>
            <w:tcW w:w="4280" w:type="dxa"/>
            <w:vAlign w:val="bottom"/>
            <w:gridSpan w:val="5"/>
          </w:tcPr>
          <w:p>
            <w:pPr>
              <w:jc w:val="center"/>
              <w:ind w:right="39"/>
              <w:spacing w:after="0"/>
              <w:rPr>
                <w:sz w:val="20"/>
                <w:szCs w:val="20"/>
                <w:color w:val="auto"/>
              </w:rPr>
            </w:pPr>
            <w:r>
              <w:rPr>
                <w:rFonts w:ascii="Arial" w:cs="Arial" w:eastAsia="Arial" w:hAnsi="Arial"/>
                <w:sz w:val="16"/>
                <w:szCs w:val="16"/>
                <w:color w:val="3E474E"/>
              </w:rPr>
              <w:t>Assessed by the Compensation Committee based on pre-</w:t>
            </w:r>
          </w:p>
        </w:tc>
        <w:tc>
          <w:tcPr>
            <w:tcW w:w="180" w:type="dxa"/>
            <w:vAlign w:val="bottom"/>
          </w:tcPr>
          <w:p>
            <w:pPr>
              <w:spacing w:after="0"/>
              <w:rPr>
                <w:sz w:val="17"/>
                <w:szCs w:val="17"/>
                <w:color w:val="auto"/>
              </w:rPr>
            </w:pPr>
          </w:p>
        </w:tc>
        <w:tc>
          <w:tcPr>
            <w:tcW w:w="1400" w:type="dxa"/>
            <w:vAlign w:val="bottom"/>
            <w:vMerge w:val="restart"/>
          </w:tcPr>
          <w:p>
            <w:pPr>
              <w:jc w:val="right"/>
              <w:ind w:right="299"/>
              <w:spacing w:after="0"/>
              <w:rPr>
                <w:sz w:val="20"/>
                <w:szCs w:val="20"/>
                <w:color w:val="auto"/>
              </w:rPr>
            </w:pPr>
            <w:r>
              <w:rPr>
                <w:rFonts w:ascii="Arial" w:cs="Arial" w:eastAsia="Arial" w:hAnsi="Arial"/>
                <w:sz w:val="16"/>
                <w:szCs w:val="16"/>
                <w:color w:val="3E474E"/>
              </w:rPr>
              <w:t>Above Target</w:t>
            </w:r>
          </w:p>
        </w:tc>
        <w:tc>
          <w:tcPr>
            <w:tcW w:w="1400" w:type="dxa"/>
            <w:vAlign w:val="bottom"/>
          </w:tcPr>
          <w:p>
            <w:pPr>
              <w:jc w:val="right"/>
              <w:ind w:right="239"/>
              <w:spacing w:after="0"/>
              <w:rPr>
                <w:sz w:val="20"/>
                <w:szCs w:val="20"/>
                <w:color w:val="auto"/>
              </w:rPr>
            </w:pPr>
            <w:r>
              <w:rPr>
                <w:rFonts w:ascii="Arial" w:cs="Arial" w:eastAsia="Arial" w:hAnsi="Arial"/>
                <w:sz w:val="16"/>
                <w:szCs w:val="16"/>
                <w:color w:val="3E474E"/>
              </w:rPr>
              <w:t>CEO - 140%</w:t>
            </w:r>
          </w:p>
        </w:tc>
        <w:tc>
          <w:tcPr>
            <w:tcW w:w="0" w:type="dxa"/>
            <w:vAlign w:val="bottom"/>
          </w:tcPr>
          <w:p>
            <w:pPr>
              <w:spacing w:after="0"/>
              <w:rPr>
                <w:sz w:val="1"/>
                <w:szCs w:val="1"/>
                <w:color w:val="auto"/>
              </w:rPr>
            </w:pPr>
          </w:p>
        </w:tc>
      </w:tr>
      <w:tr>
        <w:trPr>
          <w:trHeight w:val="120"/>
        </w:trPr>
        <w:tc>
          <w:tcPr>
            <w:tcW w:w="252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gridSpan w:val="4"/>
            <w:vMerge w:val="restart"/>
          </w:tcPr>
          <w:p>
            <w:pPr>
              <w:jc w:val="center"/>
              <w:ind w:left="639"/>
              <w:spacing w:after="0"/>
              <w:rPr>
                <w:sz w:val="20"/>
                <w:szCs w:val="20"/>
                <w:color w:val="auto"/>
              </w:rPr>
            </w:pPr>
            <w:r>
              <w:rPr>
                <w:rFonts w:ascii="Arial" w:cs="Arial" w:eastAsia="Arial" w:hAnsi="Arial"/>
                <w:sz w:val="16"/>
                <w:szCs w:val="16"/>
                <w:color w:val="3E474E"/>
              </w:rPr>
              <w:t>established goals for each individual</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400" w:type="dxa"/>
            <w:vAlign w:val="bottom"/>
            <w:vMerge w:val="restart"/>
          </w:tcPr>
          <w:p>
            <w:pPr>
              <w:jc w:val="right"/>
              <w:ind w:right="239"/>
              <w:spacing w:after="0"/>
              <w:rPr>
                <w:sz w:val="20"/>
                <w:szCs w:val="20"/>
                <w:color w:val="auto"/>
              </w:rPr>
            </w:pPr>
            <w:r>
              <w:rPr>
                <w:rFonts w:ascii="Arial" w:cs="Arial" w:eastAsia="Arial" w:hAnsi="Arial"/>
                <w:sz w:val="16"/>
                <w:szCs w:val="16"/>
                <w:color w:val="3E474E"/>
              </w:rPr>
              <w:t>CFO - 115%</w:t>
            </w: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4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340" w:type="dxa"/>
            <w:vAlign w:val="bottom"/>
            <w:tcBorders>
              <w:bottom w:val="single" w:sz="8" w:color="1478A3"/>
            </w:tcBorders>
          </w:tcPr>
          <w:p>
            <w:pPr>
              <w:spacing w:after="0"/>
              <w:rPr>
                <w:sz w:val="2"/>
                <w:szCs w:val="2"/>
                <w:color w:val="auto"/>
              </w:rPr>
            </w:pPr>
          </w:p>
        </w:tc>
        <w:tc>
          <w:tcPr>
            <w:tcW w:w="120" w:type="dxa"/>
            <w:vAlign w:val="bottom"/>
            <w:tcBorders>
              <w:bottom w:val="single" w:sz="8" w:color="1478A3"/>
            </w:tcBorders>
          </w:tcPr>
          <w:p>
            <w:pPr>
              <w:spacing w:after="0"/>
              <w:rPr>
                <w:sz w:val="2"/>
                <w:szCs w:val="2"/>
                <w:color w:val="auto"/>
              </w:rPr>
            </w:pPr>
          </w:p>
        </w:tc>
        <w:tc>
          <w:tcPr>
            <w:tcW w:w="1360" w:type="dxa"/>
            <w:vAlign w:val="bottom"/>
            <w:tcBorders>
              <w:bottom w:val="single" w:sz="8" w:color="1478A3"/>
            </w:tcBorders>
          </w:tcPr>
          <w:p>
            <w:pPr>
              <w:spacing w:after="0"/>
              <w:rPr>
                <w:sz w:val="2"/>
                <w:szCs w:val="2"/>
                <w:color w:val="auto"/>
              </w:rPr>
            </w:pPr>
          </w:p>
        </w:tc>
        <w:tc>
          <w:tcPr>
            <w:tcW w:w="200" w:type="dxa"/>
            <w:vAlign w:val="bottom"/>
            <w:tcBorders>
              <w:bottom w:val="single" w:sz="8" w:color="1478A3"/>
            </w:tcBorders>
          </w:tcPr>
          <w:p>
            <w:pPr>
              <w:spacing w:after="0"/>
              <w:rPr>
                <w:sz w:val="2"/>
                <w:szCs w:val="2"/>
                <w:color w:val="auto"/>
              </w:rPr>
            </w:pPr>
          </w:p>
        </w:tc>
        <w:tc>
          <w:tcPr>
            <w:tcW w:w="1240" w:type="dxa"/>
            <w:vAlign w:val="bottom"/>
            <w:tcBorders>
              <w:bottom w:val="single" w:sz="8" w:color="1478A3"/>
            </w:tcBorders>
          </w:tcPr>
          <w:p>
            <w:pPr>
              <w:spacing w:after="0"/>
              <w:rPr>
                <w:sz w:val="2"/>
                <w:szCs w:val="2"/>
                <w:color w:val="auto"/>
              </w:rPr>
            </w:pPr>
          </w:p>
        </w:tc>
        <w:tc>
          <w:tcPr>
            <w:tcW w:w="640" w:type="dxa"/>
            <w:vAlign w:val="bottom"/>
            <w:tcBorders>
              <w:bottom w:val="single" w:sz="8" w:color="1478A3"/>
            </w:tcBorders>
          </w:tcPr>
          <w:p>
            <w:pPr>
              <w:spacing w:after="0"/>
              <w:rPr>
                <w:sz w:val="2"/>
                <w:szCs w:val="2"/>
                <w:color w:val="auto"/>
              </w:rPr>
            </w:pPr>
          </w:p>
        </w:tc>
        <w:tc>
          <w:tcPr>
            <w:tcW w:w="840" w:type="dxa"/>
            <w:vAlign w:val="bottom"/>
            <w:tcBorders>
              <w:bottom w:val="single" w:sz="8" w:color="1478A3"/>
            </w:tcBorders>
          </w:tcPr>
          <w:p>
            <w:pPr>
              <w:spacing w:after="0"/>
              <w:rPr>
                <w:sz w:val="2"/>
                <w:szCs w:val="2"/>
                <w:color w:val="auto"/>
              </w:rPr>
            </w:pPr>
          </w:p>
        </w:tc>
        <w:tc>
          <w:tcPr>
            <w:tcW w:w="180" w:type="dxa"/>
            <w:vAlign w:val="bottom"/>
            <w:tcBorders>
              <w:bottom w:val="single" w:sz="8" w:color="1478A3"/>
            </w:tcBorders>
          </w:tcPr>
          <w:p>
            <w:pPr>
              <w:spacing w:after="0"/>
              <w:rPr>
                <w:sz w:val="2"/>
                <w:szCs w:val="2"/>
                <w:color w:val="auto"/>
              </w:rPr>
            </w:pPr>
          </w:p>
        </w:tc>
        <w:tc>
          <w:tcPr>
            <w:tcW w:w="1400" w:type="dxa"/>
            <w:vAlign w:val="bottom"/>
            <w:tcBorders>
              <w:bottom w:val="single" w:sz="8" w:color="1478A3"/>
            </w:tcBorders>
          </w:tcPr>
          <w:p>
            <w:pPr>
              <w:spacing w:after="0"/>
              <w:rPr>
                <w:sz w:val="2"/>
                <w:szCs w:val="2"/>
                <w:color w:val="auto"/>
              </w:rPr>
            </w:pPr>
          </w:p>
        </w:tc>
        <w:tc>
          <w:tcPr>
            <w:tcW w:w="1400" w:type="dxa"/>
            <w:vAlign w:val="bottom"/>
            <w:tcBorders>
              <w:bottom w:val="single" w:sz="8" w:color="1478A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3E474E"/>
        </w:rPr>
        <w:t>The following table illustrates 2025 STIP opportunities at threshold, target, and maximum performance for Messrs. Tibbetts and Barnes-Smith. For 2025, the threshold and maximum opportunity were adjusted based on a review of market practices to 50% of target at threshold and 150% of target at maximum (v. 65% to 135% of target under the 2024 STIP) providing a balanced adjustment to both threshold and maximum payouts that are more aligned with market practice. Based on the Compensation Committee’s review of the quantitative and qualitative factors under the 2025 STIP, which included the Compensation Committee’s assessment of individual performance for the CEO and CFO, on February 13, 2025, the Compensation Committee approved the 2025 STIP awards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tcBorders>
              <w:bottom w:val="single" w:sz="8" w:color="E3EAEE"/>
            </w:tcBorders>
            <w:shd w:val="clear" w:color="auto" w:fill="E3EAEE"/>
          </w:tcPr>
          <w:p>
            <w:pPr>
              <w:spacing w:after="0"/>
              <w:rPr>
                <w:sz w:val="21"/>
                <w:szCs w:val="21"/>
                <w:color w:val="auto"/>
              </w:rPr>
            </w:pPr>
          </w:p>
        </w:tc>
        <w:tc>
          <w:tcPr>
            <w:tcW w:w="2000" w:type="dxa"/>
            <w:vAlign w:val="bottom"/>
            <w:tcBorders>
              <w:bottom w:val="single" w:sz="8" w:color="1478A3"/>
            </w:tcBorders>
            <w:shd w:val="clear" w:color="auto" w:fill="E3EAEE"/>
          </w:tcPr>
          <w:p>
            <w:pPr>
              <w:spacing w:after="0"/>
              <w:rPr>
                <w:sz w:val="21"/>
                <w:szCs w:val="21"/>
                <w:color w:val="auto"/>
              </w:rPr>
            </w:pPr>
          </w:p>
        </w:tc>
        <w:tc>
          <w:tcPr>
            <w:tcW w:w="2520" w:type="dxa"/>
            <w:vAlign w:val="bottom"/>
            <w:tcBorders>
              <w:bottom w:val="single" w:sz="8" w:color="1478A3"/>
            </w:tcBorders>
            <w:shd w:val="clear" w:color="auto" w:fill="E3EAEE"/>
          </w:tcPr>
          <w:p>
            <w:pPr>
              <w:jc w:val="right"/>
              <w:ind w:right="599"/>
              <w:spacing w:after="0"/>
              <w:rPr>
                <w:sz w:val="20"/>
                <w:szCs w:val="20"/>
                <w:color w:val="auto"/>
              </w:rPr>
            </w:pPr>
            <w:r>
              <w:rPr>
                <w:rFonts w:ascii="Arial" w:cs="Arial" w:eastAsia="Arial" w:hAnsi="Arial"/>
                <w:sz w:val="16"/>
                <w:szCs w:val="16"/>
                <w:b w:val="1"/>
                <w:bCs w:val="1"/>
                <w:color w:val="1478A3"/>
              </w:rPr>
              <w:t>2025 STIP Opportunity</w:t>
            </w:r>
          </w:p>
        </w:tc>
        <w:tc>
          <w:tcPr>
            <w:tcW w:w="1420" w:type="dxa"/>
            <w:vAlign w:val="bottom"/>
            <w:tcBorders>
              <w:bottom w:val="single" w:sz="8" w:color="1478A3"/>
            </w:tcBorders>
            <w:shd w:val="clear" w:color="auto" w:fill="E3EAEE"/>
          </w:tcPr>
          <w:p>
            <w:pPr>
              <w:spacing w:after="0"/>
              <w:rPr>
                <w:sz w:val="21"/>
                <w:szCs w:val="21"/>
                <w:color w:val="auto"/>
              </w:rPr>
            </w:pPr>
          </w:p>
        </w:tc>
        <w:tc>
          <w:tcPr>
            <w:tcW w:w="340" w:type="dxa"/>
            <w:vAlign w:val="bottom"/>
            <w:tcBorders>
              <w:bottom w:val="single" w:sz="8" w:color="1478A3"/>
            </w:tcBorders>
            <w:shd w:val="clear" w:color="auto" w:fill="E3EAEE"/>
          </w:tcPr>
          <w:p>
            <w:pPr>
              <w:spacing w:after="0"/>
              <w:rPr>
                <w:sz w:val="21"/>
                <w:szCs w:val="21"/>
                <w:color w:val="auto"/>
              </w:rPr>
            </w:pPr>
          </w:p>
        </w:tc>
        <w:tc>
          <w:tcPr>
            <w:tcW w:w="1760" w:type="dxa"/>
            <w:vAlign w:val="bottom"/>
            <w:tcBorders>
              <w:bottom w:val="single" w:sz="8" w:color="1478A3"/>
            </w:tcBorders>
            <w:shd w:val="clear" w:color="auto" w:fill="E3EAEE"/>
          </w:tcPr>
          <w:p>
            <w:pPr>
              <w:jc w:val="right"/>
              <w:ind w:right="479"/>
              <w:spacing w:after="0"/>
              <w:rPr>
                <w:sz w:val="20"/>
                <w:szCs w:val="20"/>
                <w:color w:val="auto"/>
              </w:rPr>
            </w:pPr>
            <w:r>
              <w:rPr>
                <w:rFonts w:ascii="Arial" w:cs="Arial" w:eastAsia="Arial" w:hAnsi="Arial"/>
                <w:sz w:val="16"/>
                <w:szCs w:val="16"/>
                <w:b w:val="1"/>
                <w:bCs w:val="1"/>
                <w:color w:val="1478A3"/>
              </w:rPr>
              <w:t>2025 Results</w:t>
            </w:r>
          </w:p>
        </w:tc>
      </w:tr>
      <w:tr>
        <w:trPr>
          <w:trHeight w:val="196"/>
        </w:trPr>
        <w:tc>
          <w:tcPr>
            <w:tcW w:w="3200" w:type="dxa"/>
            <w:vAlign w:val="bottom"/>
            <w:shd w:val="clear" w:color="auto" w:fill="E3EAEE"/>
          </w:tcPr>
          <w:p>
            <w:pPr>
              <w:ind w:left="20"/>
              <w:spacing w:after="0"/>
              <w:rPr>
                <w:sz w:val="20"/>
                <w:szCs w:val="20"/>
                <w:color w:val="auto"/>
              </w:rPr>
            </w:pPr>
            <w:r>
              <w:rPr>
                <w:rFonts w:ascii="Arial" w:cs="Arial" w:eastAsia="Arial" w:hAnsi="Arial"/>
                <w:sz w:val="16"/>
                <w:szCs w:val="16"/>
                <w:b w:val="1"/>
                <w:bCs w:val="1"/>
                <w:color w:val="1478A3"/>
              </w:rPr>
              <w:t>Name</w:t>
            </w:r>
          </w:p>
        </w:tc>
        <w:tc>
          <w:tcPr>
            <w:tcW w:w="2000" w:type="dxa"/>
            <w:vAlign w:val="bottom"/>
            <w:shd w:val="clear" w:color="auto" w:fill="E3EAEE"/>
          </w:tcPr>
          <w:p>
            <w:pPr>
              <w:jc w:val="right"/>
              <w:ind w:right="19"/>
              <w:spacing w:after="0"/>
              <w:rPr>
                <w:sz w:val="20"/>
                <w:szCs w:val="20"/>
                <w:color w:val="auto"/>
              </w:rPr>
            </w:pPr>
            <w:r>
              <w:rPr>
                <w:rFonts w:ascii="Arial" w:cs="Arial" w:eastAsia="Arial" w:hAnsi="Arial"/>
                <w:sz w:val="16"/>
                <w:szCs w:val="16"/>
                <w:b w:val="1"/>
                <w:bCs w:val="1"/>
                <w:color w:val="1478A3"/>
              </w:rPr>
              <w:t>Threshold</w:t>
            </w:r>
          </w:p>
        </w:tc>
        <w:tc>
          <w:tcPr>
            <w:tcW w:w="2520" w:type="dxa"/>
            <w:vAlign w:val="bottom"/>
            <w:shd w:val="clear" w:color="auto" w:fill="E3EAEE"/>
          </w:tcPr>
          <w:p>
            <w:pPr>
              <w:jc w:val="right"/>
              <w:ind w:right="579"/>
              <w:spacing w:after="0"/>
              <w:rPr>
                <w:sz w:val="20"/>
                <w:szCs w:val="20"/>
                <w:color w:val="auto"/>
              </w:rPr>
            </w:pPr>
            <w:r>
              <w:rPr>
                <w:rFonts w:ascii="Arial" w:cs="Arial" w:eastAsia="Arial" w:hAnsi="Arial"/>
                <w:sz w:val="16"/>
                <w:szCs w:val="16"/>
                <w:b w:val="1"/>
                <w:bCs w:val="1"/>
                <w:color w:val="1478A3"/>
              </w:rPr>
              <w:t>Target</w:t>
            </w:r>
          </w:p>
        </w:tc>
        <w:tc>
          <w:tcPr>
            <w:tcW w:w="142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Maximum</w:t>
            </w:r>
          </w:p>
        </w:tc>
        <w:tc>
          <w:tcPr>
            <w:tcW w:w="340" w:type="dxa"/>
            <w:vAlign w:val="bottom"/>
            <w:shd w:val="clear" w:color="auto" w:fill="E3EAEE"/>
          </w:tcPr>
          <w:p>
            <w:pPr>
              <w:spacing w:after="0"/>
              <w:rPr>
                <w:sz w:val="17"/>
                <w:szCs w:val="17"/>
                <w:color w:val="auto"/>
              </w:rPr>
            </w:pPr>
          </w:p>
        </w:tc>
        <w:tc>
          <w:tcPr>
            <w:tcW w:w="176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2025 STIP Payout</w:t>
            </w:r>
          </w:p>
        </w:tc>
      </w:tr>
      <w:tr>
        <w:trPr>
          <w:trHeight w:val="224"/>
        </w:trPr>
        <w:tc>
          <w:tcPr>
            <w:tcW w:w="3200" w:type="dxa"/>
            <w:vAlign w:val="bottom"/>
            <w:tcBorders>
              <w:bottom w:val="single" w:sz="8" w:color="E3EAEE"/>
            </w:tcBorders>
            <w:shd w:val="clear" w:color="auto" w:fill="E3EAEE"/>
          </w:tcPr>
          <w:p>
            <w:pPr>
              <w:spacing w:after="0"/>
              <w:rPr>
                <w:sz w:val="19"/>
                <w:szCs w:val="19"/>
                <w:color w:val="auto"/>
              </w:rPr>
            </w:pPr>
          </w:p>
        </w:tc>
        <w:tc>
          <w:tcPr>
            <w:tcW w:w="2000" w:type="dxa"/>
            <w:vAlign w:val="bottom"/>
            <w:tcBorders>
              <w:bottom w:val="single" w:sz="8" w:color="E3EAEE"/>
            </w:tcBorders>
            <w:shd w:val="clear" w:color="auto" w:fill="E3EAEE"/>
          </w:tcPr>
          <w:p>
            <w:pPr>
              <w:jc w:val="right"/>
              <w:ind w:right="19"/>
              <w:spacing w:after="0"/>
              <w:rPr>
                <w:sz w:val="20"/>
                <w:szCs w:val="20"/>
                <w:color w:val="auto"/>
              </w:rPr>
            </w:pPr>
            <w:r>
              <w:rPr>
                <w:rFonts w:ascii="Arial" w:cs="Arial" w:eastAsia="Arial" w:hAnsi="Arial"/>
                <w:sz w:val="16"/>
                <w:szCs w:val="16"/>
                <w:b w:val="1"/>
                <w:bCs w:val="1"/>
                <w:color w:val="1478A3"/>
              </w:rPr>
              <w:t>($)</w:t>
            </w:r>
          </w:p>
        </w:tc>
        <w:tc>
          <w:tcPr>
            <w:tcW w:w="2520" w:type="dxa"/>
            <w:vAlign w:val="bottom"/>
            <w:tcBorders>
              <w:bottom w:val="single" w:sz="8" w:color="E3EAEE"/>
            </w:tcBorders>
            <w:shd w:val="clear" w:color="auto" w:fill="E3EAEE"/>
          </w:tcPr>
          <w:p>
            <w:pPr>
              <w:jc w:val="right"/>
              <w:ind w:right="579"/>
              <w:spacing w:after="0"/>
              <w:rPr>
                <w:sz w:val="20"/>
                <w:szCs w:val="20"/>
                <w:color w:val="auto"/>
              </w:rPr>
            </w:pPr>
            <w:r>
              <w:rPr>
                <w:rFonts w:ascii="Arial" w:cs="Arial" w:eastAsia="Arial" w:hAnsi="Arial"/>
                <w:sz w:val="16"/>
                <w:szCs w:val="16"/>
                <w:b w:val="1"/>
                <w:bCs w:val="1"/>
                <w:color w:val="1478A3"/>
              </w:rPr>
              <w:t>($)</w:t>
            </w:r>
          </w:p>
        </w:tc>
        <w:tc>
          <w:tcPr>
            <w:tcW w:w="142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b w:val="1"/>
                <w:bCs w:val="1"/>
                <w:color w:val="1478A3"/>
              </w:rPr>
              <w:t>($)</w:t>
            </w:r>
          </w:p>
        </w:tc>
        <w:tc>
          <w:tcPr>
            <w:tcW w:w="340" w:type="dxa"/>
            <w:vAlign w:val="bottom"/>
            <w:tcBorders>
              <w:bottom w:val="single" w:sz="8" w:color="E3EAEE"/>
            </w:tcBorders>
            <w:shd w:val="clear" w:color="auto" w:fill="E3EAEE"/>
          </w:tcPr>
          <w:p>
            <w:pPr>
              <w:spacing w:after="0"/>
              <w:rPr>
                <w:sz w:val="19"/>
                <w:szCs w:val="19"/>
                <w:color w:val="auto"/>
              </w:rPr>
            </w:pPr>
          </w:p>
        </w:tc>
        <w:tc>
          <w:tcPr>
            <w:tcW w:w="1760" w:type="dxa"/>
            <w:vAlign w:val="bottom"/>
            <w:tcBorders>
              <w:bottom w:val="single" w:sz="8" w:color="E3EAEE"/>
            </w:tcBorders>
            <w:shd w:val="clear" w:color="auto" w:fill="E3EAEE"/>
          </w:tcPr>
          <w:p>
            <w:pPr>
              <w:spacing w:after="0"/>
              <w:rPr>
                <w:sz w:val="19"/>
                <w:szCs w:val="19"/>
                <w:color w:val="auto"/>
              </w:rPr>
            </w:pPr>
          </w:p>
        </w:tc>
      </w:tr>
      <w:tr>
        <w:trPr>
          <w:trHeight w:val="235"/>
        </w:trPr>
        <w:tc>
          <w:tcPr>
            <w:tcW w:w="3200" w:type="dxa"/>
            <w:vAlign w:val="bottom"/>
          </w:tcPr>
          <w:p>
            <w:pPr>
              <w:ind w:left="140"/>
              <w:spacing w:after="0"/>
              <w:rPr>
                <w:sz w:val="20"/>
                <w:szCs w:val="20"/>
                <w:color w:val="auto"/>
              </w:rPr>
            </w:pPr>
            <w:r>
              <w:rPr>
                <w:rFonts w:ascii="Arial" w:cs="Arial" w:eastAsia="Arial" w:hAnsi="Arial"/>
                <w:sz w:val="16"/>
                <w:szCs w:val="16"/>
                <w:color w:val="3E474E"/>
              </w:rPr>
              <w:t>Shawn J. Tibbetts</w:t>
            </w:r>
          </w:p>
        </w:tc>
        <w:tc>
          <w:tcPr>
            <w:tcW w:w="2000" w:type="dxa"/>
            <w:vAlign w:val="bottom"/>
          </w:tcPr>
          <w:p>
            <w:pPr>
              <w:jc w:val="right"/>
              <w:ind w:right="19"/>
              <w:spacing w:after="0"/>
              <w:rPr>
                <w:sz w:val="20"/>
                <w:szCs w:val="20"/>
                <w:color w:val="auto"/>
              </w:rPr>
            </w:pPr>
            <w:r>
              <w:rPr>
                <w:rFonts w:ascii="Arial" w:cs="Arial" w:eastAsia="Arial" w:hAnsi="Arial"/>
                <w:sz w:val="16"/>
                <w:szCs w:val="16"/>
                <w:color w:val="3E474E"/>
              </w:rPr>
              <w:t>387,500</w:t>
            </w:r>
          </w:p>
        </w:tc>
        <w:tc>
          <w:tcPr>
            <w:tcW w:w="2520" w:type="dxa"/>
            <w:vAlign w:val="bottom"/>
          </w:tcPr>
          <w:p>
            <w:pPr>
              <w:jc w:val="right"/>
              <w:ind w:right="579"/>
              <w:spacing w:after="0"/>
              <w:rPr>
                <w:sz w:val="20"/>
                <w:szCs w:val="20"/>
                <w:color w:val="auto"/>
              </w:rPr>
            </w:pPr>
            <w:r>
              <w:rPr>
                <w:rFonts w:ascii="Arial" w:cs="Arial" w:eastAsia="Arial" w:hAnsi="Arial"/>
                <w:sz w:val="16"/>
                <w:szCs w:val="16"/>
                <w:color w:val="3E474E"/>
              </w:rPr>
              <w:t>775,000</w:t>
            </w:r>
          </w:p>
        </w:tc>
        <w:tc>
          <w:tcPr>
            <w:tcW w:w="1420" w:type="dxa"/>
            <w:vAlign w:val="bottom"/>
          </w:tcPr>
          <w:p>
            <w:pPr>
              <w:jc w:val="right"/>
              <w:spacing w:after="0"/>
              <w:rPr>
                <w:sz w:val="20"/>
                <w:szCs w:val="20"/>
                <w:color w:val="auto"/>
              </w:rPr>
            </w:pPr>
            <w:r>
              <w:rPr>
                <w:rFonts w:ascii="Arial" w:cs="Arial" w:eastAsia="Arial" w:hAnsi="Arial"/>
                <w:sz w:val="16"/>
                <w:szCs w:val="16"/>
                <w:color w:val="3E474E"/>
              </w:rPr>
              <w:t>1,162,500</w:t>
            </w:r>
          </w:p>
        </w:tc>
        <w:tc>
          <w:tcPr>
            <w:tcW w:w="340" w:type="dxa"/>
            <w:vAlign w:val="bottom"/>
          </w:tcPr>
          <w:p>
            <w:pPr>
              <w:jc w:val="right"/>
              <w:ind w:right="139"/>
              <w:spacing w:after="0"/>
              <w:rPr>
                <w:sz w:val="20"/>
                <w:szCs w:val="20"/>
                <w:color w:val="auto"/>
              </w:rPr>
            </w:pPr>
            <w:r>
              <w:rPr>
                <w:rFonts w:ascii="Arial" w:cs="Arial" w:eastAsia="Arial" w:hAnsi="Arial"/>
                <w:sz w:val="16"/>
                <w:szCs w:val="16"/>
                <w:color w:val="3E474E"/>
              </w:rPr>
              <w:t>$</w:t>
            </w:r>
          </w:p>
        </w:tc>
        <w:tc>
          <w:tcPr>
            <w:tcW w:w="1760" w:type="dxa"/>
            <w:vAlign w:val="bottom"/>
          </w:tcPr>
          <w:p>
            <w:pPr>
              <w:jc w:val="right"/>
              <w:spacing w:after="0"/>
              <w:rPr>
                <w:sz w:val="20"/>
                <w:szCs w:val="20"/>
                <w:color w:val="auto"/>
              </w:rPr>
            </w:pPr>
            <w:r>
              <w:rPr>
                <w:rFonts w:ascii="Arial" w:cs="Arial" w:eastAsia="Arial" w:hAnsi="Arial"/>
                <w:sz w:val="16"/>
                <w:szCs w:val="16"/>
                <w:color w:val="3E474E"/>
              </w:rPr>
              <w:t>953,250</w:t>
            </w:r>
          </w:p>
        </w:tc>
      </w:tr>
      <w:tr>
        <w:trPr>
          <w:trHeight w:val="251"/>
        </w:trPr>
        <w:tc>
          <w:tcPr>
            <w:tcW w:w="320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Matthew T. Barnes-Smith</w:t>
            </w:r>
          </w:p>
        </w:tc>
        <w:tc>
          <w:tcPr>
            <w:tcW w:w="2000" w:type="dxa"/>
            <w:vAlign w:val="bottom"/>
            <w:shd w:val="clear" w:color="auto" w:fill="E3EAEE"/>
          </w:tcPr>
          <w:p>
            <w:pPr>
              <w:jc w:val="right"/>
              <w:ind w:right="19"/>
              <w:spacing w:after="0"/>
              <w:rPr>
                <w:sz w:val="20"/>
                <w:szCs w:val="20"/>
                <w:color w:val="auto"/>
              </w:rPr>
            </w:pPr>
            <w:r>
              <w:rPr>
                <w:rFonts w:ascii="Arial" w:cs="Arial" w:eastAsia="Arial" w:hAnsi="Arial"/>
                <w:sz w:val="16"/>
                <w:szCs w:val="16"/>
                <w:color w:val="3E474E"/>
              </w:rPr>
              <w:t>150,000</w:t>
            </w:r>
          </w:p>
        </w:tc>
        <w:tc>
          <w:tcPr>
            <w:tcW w:w="2520" w:type="dxa"/>
            <w:vAlign w:val="bottom"/>
            <w:shd w:val="clear" w:color="auto" w:fill="E3EAEE"/>
          </w:tcPr>
          <w:p>
            <w:pPr>
              <w:jc w:val="right"/>
              <w:ind w:right="579"/>
              <w:spacing w:after="0"/>
              <w:rPr>
                <w:sz w:val="20"/>
                <w:szCs w:val="20"/>
                <w:color w:val="auto"/>
              </w:rPr>
            </w:pPr>
            <w:r>
              <w:rPr>
                <w:rFonts w:ascii="Arial" w:cs="Arial" w:eastAsia="Arial" w:hAnsi="Arial"/>
                <w:sz w:val="16"/>
                <w:szCs w:val="16"/>
                <w:color w:val="3E474E"/>
              </w:rPr>
              <w:t>300,000</w:t>
            </w:r>
          </w:p>
        </w:tc>
        <w:tc>
          <w:tcPr>
            <w:tcW w:w="142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450,000</w:t>
            </w:r>
          </w:p>
        </w:tc>
        <w:tc>
          <w:tcPr>
            <w:tcW w:w="34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w:t>
            </w:r>
          </w:p>
        </w:tc>
        <w:tc>
          <w:tcPr>
            <w:tcW w:w="17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354,000</w:t>
            </w:r>
          </w:p>
        </w:tc>
      </w:tr>
    </w:tbl>
    <w:p>
      <w:pPr>
        <w:spacing w:after="0" w:line="31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E474E"/>
        </w:rPr>
        <w:t>For purposes of the STIP, we first calculate FFO, a supplemental non-GAAP financial measure, in accordance with the standards established by the National Association of Real Estate Investment Trusts (“Nareit”). However, because we believe that the computation of FFO in accordance with Nareit’s definition includes certain items that are not indicative of the results provided by our portfolio and affect the comparability of our year-over-year performance, we also use Normalized FFO for the STIP. Management believes that Normalized FFO is a more useful performance measure that excludes certain items, including, but not limited to, debt extinguishment losses and prepayment penalties, impairment of intangible assets and liabilities, property acquisition, development, and other pursuit costs, mark-to-market adjustments for interest rate derivatives, severance-related costs, and other non-comparable items. The Compensation Committee retains the discretion to equitably adjust the quantitative metrics to account for one-time events such as capital raising.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57AED5"/>
        </w:rPr>
        <w:t>LEGACY 2025 SHORT-TERM INCENTIVE PLAN</w:t>
      </w:r>
    </w:p>
    <w:p>
      <w:pPr>
        <w:spacing w:after="0" w:line="122"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3E474E"/>
        </w:rPr>
        <w:t>For 2025, prior to his termination, Mr. Apperson remained in a legacy program aligned with our near-term priorities. Under the Legacy 2025 STIP, earned amounts are paid 40% in cash and 60% in equity. For 2025, the threshold and maximum thresholds were set at 65% of target at threshold and 135% of target at maximum. The table below sets forth Mr. Apperson’s 2025 Legacy STIP opportunities at threshold, target, and maximum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44</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747C83"/>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4363085" cy="3511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6308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3E474E"/>
        </w:rPr>
        <w:t>Cash Portion of 2025 STIP</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460" w:type="dxa"/>
            <w:vAlign w:val="bottom"/>
          </w:tcPr>
          <w:p>
            <w:pPr>
              <w:ind w:left="20"/>
              <w:spacing w:after="0"/>
              <w:rPr>
                <w:sz w:val="20"/>
                <w:szCs w:val="20"/>
                <w:color w:val="auto"/>
              </w:rPr>
            </w:pPr>
            <w:r>
              <w:rPr>
                <w:rFonts w:ascii="Arial" w:cs="Arial" w:eastAsia="Arial" w:hAnsi="Arial"/>
                <w:sz w:val="16"/>
                <w:szCs w:val="16"/>
                <w:b w:val="1"/>
                <w:bCs w:val="1"/>
                <w:color w:val="3E474E"/>
              </w:rPr>
              <w:t>Name</w:t>
            </w:r>
          </w:p>
        </w:tc>
        <w:tc>
          <w:tcPr>
            <w:tcW w:w="1800" w:type="dxa"/>
            <w:vAlign w:val="bottom"/>
            <w:tcBorders>
              <w:top w:val="single" w:sz="8" w:color="1478A3"/>
              <w:bottom w:val="single" w:sz="8" w:color="E3EAEE"/>
            </w:tcBorders>
            <w:shd w:val="clear" w:color="auto" w:fill="E3EAEE"/>
          </w:tcPr>
          <w:p>
            <w:pPr>
              <w:ind w:left="20"/>
              <w:spacing w:after="0"/>
              <w:rPr>
                <w:sz w:val="20"/>
                <w:szCs w:val="20"/>
                <w:color w:val="auto"/>
              </w:rPr>
            </w:pPr>
            <w:r>
              <w:rPr>
                <w:rFonts w:ascii="Arial" w:cs="Arial" w:eastAsia="Arial" w:hAnsi="Arial"/>
                <w:sz w:val="16"/>
                <w:szCs w:val="16"/>
                <w:b w:val="1"/>
                <w:bCs w:val="1"/>
                <w:color w:val="3E474E"/>
              </w:rPr>
              <w:t>Threshold ($)</w:t>
            </w:r>
          </w:p>
        </w:tc>
        <w:tc>
          <w:tcPr>
            <w:tcW w:w="1300" w:type="dxa"/>
            <w:vAlign w:val="bottom"/>
            <w:tcBorders>
              <w:top w:val="single" w:sz="8" w:color="1478A3"/>
              <w:bottom w:val="single" w:sz="8" w:color="E3EAEE"/>
            </w:tcBorders>
            <w:shd w:val="clear" w:color="auto" w:fill="E3EAEE"/>
          </w:tcPr>
          <w:p>
            <w:pPr>
              <w:ind w:left="20"/>
              <w:spacing w:after="0"/>
              <w:rPr>
                <w:sz w:val="20"/>
                <w:szCs w:val="20"/>
                <w:color w:val="auto"/>
              </w:rPr>
            </w:pPr>
            <w:r>
              <w:rPr>
                <w:rFonts w:ascii="Arial" w:cs="Arial" w:eastAsia="Arial" w:hAnsi="Arial"/>
                <w:sz w:val="16"/>
                <w:szCs w:val="16"/>
                <w:b w:val="1"/>
                <w:bCs w:val="1"/>
                <w:color w:val="3E474E"/>
              </w:rPr>
              <w:t>Target ($)</w:t>
            </w:r>
          </w:p>
        </w:tc>
        <w:tc>
          <w:tcPr>
            <w:tcW w:w="2320" w:type="dxa"/>
            <w:vAlign w:val="bottom"/>
            <w:tcBorders>
              <w:top w:val="single" w:sz="8" w:color="1478A3"/>
              <w:bottom w:val="single" w:sz="8" w:color="E3EAEE"/>
            </w:tcBorders>
            <w:shd w:val="clear" w:color="auto" w:fill="E3EAEE"/>
          </w:tcPr>
          <w:p>
            <w:pPr>
              <w:ind w:left="520"/>
              <w:spacing w:after="0"/>
              <w:rPr>
                <w:sz w:val="20"/>
                <w:szCs w:val="20"/>
                <w:color w:val="auto"/>
              </w:rPr>
            </w:pPr>
            <w:r>
              <w:rPr>
                <w:rFonts w:ascii="Arial" w:cs="Arial" w:eastAsia="Arial" w:hAnsi="Arial"/>
                <w:sz w:val="16"/>
                <w:szCs w:val="16"/>
                <w:b w:val="1"/>
                <w:bCs w:val="1"/>
                <w:color w:val="3E474E"/>
              </w:rPr>
              <w:t>Maximum ($)</w:t>
            </w:r>
          </w:p>
        </w:tc>
        <w:tc>
          <w:tcPr>
            <w:tcW w:w="60" w:type="dxa"/>
            <w:vAlign w:val="bottom"/>
          </w:tcPr>
          <w:p>
            <w:pPr>
              <w:spacing w:after="0"/>
              <w:rPr>
                <w:sz w:val="24"/>
                <w:szCs w:val="24"/>
                <w:color w:val="auto"/>
              </w:rPr>
            </w:pPr>
          </w:p>
        </w:tc>
      </w:tr>
      <w:tr>
        <w:trPr>
          <w:trHeight w:val="221"/>
        </w:trPr>
        <w:tc>
          <w:tcPr>
            <w:tcW w:w="1460" w:type="dxa"/>
            <w:vAlign w:val="bottom"/>
          </w:tcPr>
          <w:p>
            <w:pPr>
              <w:ind w:left="20"/>
              <w:spacing w:after="0"/>
              <w:rPr>
                <w:sz w:val="20"/>
                <w:szCs w:val="20"/>
                <w:color w:val="auto"/>
              </w:rPr>
            </w:pPr>
            <w:r>
              <w:rPr>
                <w:rFonts w:ascii="Arial" w:cs="Arial" w:eastAsia="Arial" w:hAnsi="Arial"/>
                <w:sz w:val="16"/>
                <w:szCs w:val="16"/>
                <w:color w:val="3E474E"/>
              </w:rPr>
              <w:t>Eric E. Apperson</w:t>
            </w:r>
          </w:p>
        </w:tc>
        <w:tc>
          <w:tcPr>
            <w:tcW w:w="1800" w:type="dxa"/>
            <w:vAlign w:val="bottom"/>
            <w:tcBorders>
              <w:top w:val="single" w:sz="8" w:color="1478A3"/>
            </w:tcBorders>
          </w:tcPr>
          <w:p>
            <w:pPr>
              <w:ind w:left="20"/>
              <w:spacing w:after="0"/>
              <w:rPr>
                <w:sz w:val="20"/>
                <w:szCs w:val="20"/>
                <w:color w:val="auto"/>
              </w:rPr>
            </w:pPr>
            <w:r>
              <w:rPr>
                <w:rFonts w:ascii="Arial" w:cs="Arial" w:eastAsia="Arial" w:hAnsi="Arial"/>
                <w:sz w:val="16"/>
                <w:szCs w:val="16"/>
                <w:color w:val="3E474E"/>
              </w:rPr>
              <w:t>103,773</w:t>
            </w:r>
          </w:p>
        </w:tc>
        <w:tc>
          <w:tcPr>
            <w:tcW w:w="1300" w:type="dxa"/>
            <w:vAlign w:val="bottom"/>
            <w:tcBorders>
              <w:top w:val="single" w:sz="8" w:color="1478A3"/>
            </w:tcBorders>
          </w:tcPr>
          <w:p>
            <w:pPr>
              <w:ind w:left="20"/>
              <w:spacing w:after="0"/>
              <w:rPr>
                <w:sz w:val="20"/>
                <w:szCs w:val="20"/>
                <w:color w:val="auto"/>
              </w:rPr>
            </w:pPr>
            <w:r>
              <w:rPr>
                <w:rFonts w:ascii="Arial" w:cs="Arial" w:eastAsia="Arial" w:hAnsi="Arial"/>
                <w:sz w:val="16"/>
                <w:szCs w:val="16"/>
                <w:color w:val="3E474E"/>
              </w:rPr>
              <w:t>159,650</w:t>
            </w:r>
          </w:p>
        </w:tc>
        <w:tc>
          <w:tcPr>
            <w:tcW w:w="2320" w:type="dxa"/>
            <w:vAlign w:val="bottom"/>
            <w:tcBorders>
              <w:top w:val="single" w:sz="8" w:color="1478A3"/>
            </w:tcBorders>
          </w:tcPr>
          <w:p>
            <w:pPr>
              <w:ind w:left="520"/>
              <w:spacing w:after="0"/>
              <w:rPr>
                <w:sz w:val="20"/>
                <w:szCs w:val="20"/>
                <w:color w:val="auto"/>
              </w:rPr>
            </w:pPr>
            <w:r>
              <w:rPr>
                <w:rFonts w:ascii="Arial" w:cs="Arial" w:eastAsia="Arial" w:hAnsi="Arial"/>
                <w:sz w:val="16"/>
                <w:szCs w:val="16"/>
                <w:color w:val="3E474E"/>
              </w:rPr>
              <w:t>215,528</w:t>
            </w:r>
          </w:p>
        </w:tc>
        <w:tc>
          <w:tcPr>
            <w:tcW w:w="60" w:type="dxa"/>
            <w:vAlign w:val="bottom"/>
          </w:tcPr>
          <w:p>
            <w:pPr>
              <w:spacing w:after="0"/>
              <w:rPr>
                <w:sz w:val="19"/>
                <w:szCs w:val="19"/>
                <w:color w:val="auto"/>
              </w:rPr>
            </w:pPr>
          </w:p>
        </w:tc>
      </w:tr>
      <w:tr>
        <w:trPr>
          <w:trHeight w:val="380"/>
        </w:trPr>
        <w:tc>
          <w:tcPr>
            <w:tcW w:w="1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1460" w:type="dxa"/>
            <w:vAlign w:val="bottom"/>
            <w:tcBorders>
              <w:bottom w:val="single" w:sz="8" w:color="E3EAEE"/>
            </w:tcBorders>
            <w:shd w:val="clear" w:color="auto" w:fill="E3EAEE"/>
          </w:tcPr>
          <w:p>
            <w:pPr>
              <w:spacing w:after="0"/>
              <w:rPr>
                <w:sz w:val="20"/>
                <w:szCs w:val="20"/>
                <w:color w:val="auto"/>
              </w:rPr>
            </w:pPr>
          </w:p>
        </w:tc>
        <w:tc>
          <w:tcPr>
            <w:tcW w:w="3100" w:type="dxa"/>
            <w:vAlign w:val="bottom"/>
            <w:tcBorders>
              <w:bottom w:val="single" w:sz="8" w:color="007AA7"/>
            </w:tcBorders>
            <w:gridSpan w:val="2"/>
            <w:shd w:val="clear" w:color="auto" w:fill="E3EAEE"/>
          </w:tcPr>
          <w:p>
            <w:pPr>
              <w:ind w:left="20"/>
              <w:spacing w:after="0"/>
              <w:rPr>
                <w:sz w:val="20"/>
                <w:szCs w:val="20"/>
                <w:color w:val="auto"/>
              </w:rPr>
            </w:pPr>
            <w:r>
              <w:rPr>
                <w:rFonts w:ascii="Arial" w:cs="Arial" w:eastAsia="Arial" w:hAnsi="Arial"/>
                <w:sz w:val="16"/>
                <w:szCs w:val="16"/>
                <w:b w:val="1"/>
                <w:bCs w:val="1"/>
                <w:color w:val="3E474E"/>
              </w:rPr>
              <w:t>Equity Portion of 2025 STIP</w:t>
            </w:r>
          </w:p>
        </w:tc>
        <w:tc>
          <w:tcPr>
            <w:tcW w:w="2320" w:type="dxa"/>
            <w:vAlign w:val="bottom"/>
            <w:tcBorders>
              <w:bottom w:val="single" w:sz="8" w:color="007AA7"/>
            </w:tcBorders>
            <w:shd w:val="clear" w:color="auto" w:fill="E3EAEE"/>
          </w:tcPr>
          <w:p>
            <w:pPr>
              <w:spacing w:after="0"/>
              <w:rPr>
                <w:sz w:val="20"/>
                <w:szCs w:val="20"/>
                <w:color w:val="auto"/>
              </w:rPr>
            </w:pPr>
          </w:p>
        </w:tc>
        <w:tc>
          <w:tcPr>
            <w:tcW w:w="60" w:type="dxa"/>
            <w:vAlign w:val="bottom"/>
            <w:tcBorders>
              <w:bottom w:val="single" w:sz="8" w:color="007AA7"/>
            </w:tcBorders>
            <w:shd w:val="clear" w:color="auto" w:fill="E3EAEE"/>
          </w:tcPr>
          <w:p>
            <w:pPr>
              <w:spacing w:after="0"/>
              <w:rPr>
                <w:sz w:val="20"/>
                <w:szCs w:val="20"/>
                <w:color w:val="auto"/>
              </w:rPr>
            </w:pPr>
          </w:p>
        </w:tc>
      </w:tr>
      <w:tr>
        <w:trPr>
          <w:trHeight w:val="236"/>
        </w:trPr>
        <w:tc>
          <w:tcPr>
            <w:tcW w:w="1460" w:type="dxa"/>
            <w:vAlign w:val="bottom"/>
            <w:shd w:val="clear" w:color="auto" w:fill="E3EAEE"/>
          </w:tcPr>
          <w:p>
            <w:pPr>
              <w:ind w:left="20"/>
              <w:spacing w:after="0"/>
              <w:rPr>
                <w:sz w:val="20"/>
                <w:szCs w:val="20"/>
                <w:color w:val="auto"/>
              </w:rPr>
            </w:pPr>
            <w:r>
              <w:rPr>
                <w:rFonts w:ascii="Arial" w:cs="Arial" w:eastAsia="Arial" w:hAnsi="Arial"/>
                <w:sz w:val="16"/>
                <w:szCs w:val="16"/>
                <w:b w:val="1"/>
                <w:bCs w:val="1"/>
                <w:color w:val="3E474E"/>
              </w:rPr>
              <w:t>Name</w:t>
            </w:r>
          </w:p>
        </w:tc>
        <w:tc>
          <w:tcPr>
            <w:tcW w:w="1800" w:type="dxa"/>
            <w:vAlign w:val="bottom"/>
            <w:shd w:val="clear" w:color="auto" w:fill="E3EAEE"/>
          </w:tcPr>
          <w:p>
            <w:pPr>
              <w:ind w:left="20"/>
              <w:spacing w:after="0"/>
              <w:rPr>
                <w:sz w:val="20"/>
                <w:szCs w:val="20"/>
                <w:color w:val="auto"/>
              </w:rPr>
            </w:pPr>
            <w:r>
              <w:rPr>
                <w:rFonts w:ascii="Arial" w:cs="Arial" w:eastAsia="Arial" w:hAnsi="Arial"/>
                <w:sz w:val="16"/>
                <w:szCs w:val="16"/>
                <w:b w:val="1"/>
                <w:bCs w:val="1"/>
                <w:color w:val="3E474E"/>
              </w:rPr>
              <w:t>Threshold ($)</w:t>
            </w:r>
          </w:p>
        </w:tc>
        <w:tc>
          <w:tcPr>
            <w:tcW w:w="1300" w:type="dxa"/>
            <w:vAlign w:val="bottom"/>
            <w:shd w:val="clear" w:color="auto" w:fill="E3EAEE"/>
          </w:tcPr>
          <w:p>
            <w:pPr>
              <w:ind w:left="40"/>
              <w:spacing w:after="0"/>
              <w:rPr>
                <w:sz w:val="20"/>
                <w:szCs w:val="20"/>
                <w:color w:val="auto"/>
              </w:rPr>
            </w:pPr>
            <w:r>
              <w:rPr>
                <w:rFonts w:ascii="Arial" w:cs="Arial" w:eastAsia="Arial" w:hAnsi="Arial"/>
                <w:sz w:val="16"/>
                <w:szCs w:val="16"/>
                <w:b w:val="1"/>
                <w:bCs w:val="1"/>
                <w:color w:val="3E474E"/>
              </w:rPr>
              <w:t>Target ($)</w:t>
            </w:r>
          </w:p>
        </w:tc>
        <w:tc>
          <w:tcPr>
            <w:tcW w:w="2320" w:type="dxa"/>
            <w:vAlign w:val="bottom"/>
            <w:shd w:val="clear" w:color="auto" w:fill="E3EAEE"/>
          </w:tcPr>
          <w:p>
            <w:pPr>
              <w:ind w:left="560"/>
              <w:spacing w:after="0"/>
              <w:rPr>
                <w:sz w:val="20"/>
                <w:szCs w:val="20"/>
                <w:color w:val="auto"/>
              </w:rPr>
            </w:pPr>
            <w:r>
              <w:rPr>
                <w:rFonts w:ascii="Arial" w:cs="Arial" w:eastAsia="Arial" w:hAnsi="Arial"/>
                <w:sz w:val="16"/>
                <w:szCs w:val="16"/>
                <w:b w:val="1"/>
                <w:bCs w:val="1"/>
                <w:color w:val="3E474E"/>
              </w:rPr>
              <w:t>Maximum ($)</w:t>
            </w:r>
          </w:p>
        </w:tc>
        <w:tc>
          <w:tcPr>
            <w:tcW w:w="60" w:type="dxa"/>
            <w:vAlign w:val="bottom"/>
            <w:shd w:val="clear" w:color="auto" w:fill="E3EAEE"/>
          </w:tcPr>
          <w:p>
            <w:pPr>
              <w:spacing w:after="0"/>
              <w:rPr>
                <w:sz w:val="20"/>
                <w:szCs w:val="20"/>
                <w:color w:val="auto"/>
              </w:rPr>
            </w:pPr>
          </w:p>
        </w:tc>
      </w:tr>
      <w:tr>
        <w:trPr>
          <w:trHeight w:val="62"/>
        </w:trPr>
        <w:tc>
          <w:tcPr>
            <w:tcW w:w="1460" w:type="dxa"/>
            <w:vAlign w:val="bottom"/>
            <w:shd w:val="clear" w:color="auto" w:fill="E3EAEE"/>
          </w:tcPr>
          <w:p>
            <w:pPr>
              <w:spacing w:after="0"/>
              <w:rPr>
                <w:sz w:val="5"/>
                <w:szCs w:val="5"/>
                <w:color w:val="auto"/>
              </w:rPr>
            </w:pPr>
          </w:p>
        </w:tc>
        <w:tc>
          <w:tcPr>
            <w:tcW w:w="1800" w:type="dxa"/>
            <w:vAlign w:val="bottom"/>
            <w:tcBorders>
              <w:bottom w:val="single" w:sz="8" w:color="007AA7"/>
            </w:tcBorders>
            <w:shd w:val="clear" w:color="auto" w:fill="E3EAEE"/>
          </w:tcPr>
          <w:p>
            <w:pPr>
              <w:spacing w:after="0"/>
              <w:rPr>
                <w:sz w:val="5"/>
                <w:szCs w:val="5"/>
                <w:color w:val="auto"/>
              </w:rPr>
            </w:pPr>
          </w:p>
        </w:tc>
        <w:tc>
          <w:tcPr>
            <w:tcW w:w="1300" w:type="dxa"/>
            <w:vAlign w:val="bottom"/>
            <w:tcBorders>
              <w:bottom w:val="single" w:sz="8" w:color="007AA7"/>
            </w:tcBorders>
            <w:shd w:val="clear" w:color="auto" w:fill="E3EAEE"/>
          </w:tcPr>
          <w:p>
            <w:pPr>
              <w:spacing w:after="0"/>
              <w:rPr>
                <w:sz w:val="5"/>
                <w:szCs w:val="5"/>
                <w:color w:val="auto"/>
              </w:rPr>
            </w:pPr>
          </w:p>
        </w:tc>
        <w:tc>
          <w:tcPr>
            <w:tcW w:w="2320" w:type="dxa"/>
            <w:vAlign w:val="bottom"/>
            <w:tcBorders>
              <w:bottom w:val="single" w:sz="8" w:color="007AA7"/>
            </w:tcBorders>
            <w:shd w:val="clear" w:color="auto" w:fill="E3EAEE"/>
          </w:tcPr>
          <w:p>
            <w:pPr>
              <w:spacing w:after="0"/>
              <w:rPr>
                <w:sz w:val="5"/>
                <w:szCs w:val="5"/>
                <w:color w:val="auto"/>
              </w:rPr>
            </w:pPr>
          </w:p>
        </w:tc>
        <w:tc>
          <w:tcPr>
            <w:tcW w:w="60" w:type="dxa"/>
            <w:vAlign w:val="bottom"/>
            <w:tcBorders>
              <w:bottom w:val="single" w:sz="8" w:color="007AA7"/>
            </w:tcBorders>
            <w:shd w:val="clear" w:color="auto" w:fill="E3EAEE"/>
          </w:tcPr>
          <w:p>
            <w:pPr>
              <w:spacing w:after="0"/>
              <w:rPr>
                <w:sz w:val="5"/>
                <w:szCs w:val="5"/>
                <w:color w:val="auto"/>
              </w:rPr>
            </w:pPr>
          </w:p>
        </w:tc>
      </w:tr>
      <w:tr>
        <w:trPr>
          <w:trHeight w:val="221"/>
        </w:trPr>
        <w:tc>
          <w:tcPr>
            <w:tcW w:w="1460" w:type="dxa"/>
            <w:vAlign w:val="bottom"/>
          </w:tcPr>
          <w:p>
            <w:pPr>
              <w:ind w:left="20"/>
              <w:spacing w:after="0"/>
              <w:rPr>
                <w:sz w:val="20"/>
                <w:szCs w:val="20"/>
                <w:color w:val="auto"/>
              </w:rPr>
            </w:pPr>
            <w:r>
              <w:rPr>
                <w:rFonts w:ascii="Arial" w:cs="Arial" w:eastAsia="Arial" w:hAnsi="Arial"/>
                <w:sz w:val="16"/>
                <w:szCs w:val="16"/>
                <w:color w:val="3E474E"/>
              </w:rPr>
              <w:t>Eric E. Apperson</w:t>
            </w:r>
          </w:p>
        </w:tc>
        <w:tc>
          <w:tcPr>
            <w:tcW w:w="1800" w:type="dxa"/>
            <w:vAlign w:val="bottom"/>
          </w:tcPr>
          <w:p>
            <w:pPr>
              <w:ind w:left="20"/>
              <w:spacing w:after="0"/>
              <w:rPr>
                <w:sz w:val="20"/>
                <w:szCs w:val="20"/>
                <w:color w:val="auto"/>
              </w:rPr>
            </w:pPr>
            <w:r>
              <w:rPr>
                <w:rFonts w:ascii="Arial" w:cs="Arial" w:eastAsia="Arial" w:hAnsi="Arial"/>
                <w:sz w:val="16"/>
                <w:szCs w:val="16"/>
                <w:color w:val="3E474E"/>
              </w:rPr>
              <w:t>157,333</w:t>
            </w:r>
          </w:p>
        </w:tc>
        <w:tc>
          <w:tcPr>
            <w:tcW w:w="1300" w:type="dxa"/>
            <w:vAlign w:val="bottom"/>
          </w:tcPr>
          <w:p>
            <w:pPr>
              <w:ind w:left="40"/>
              <w:spacing w:after="0"/>
              <w:rPr>
                <w:sz w:val="20"/>
                <w:szCs w:val="20"/>
                <w:color w:val="auto"/>
              </w:rPr>
            </w:pPr>
            <w:r>
              <w:rPr>
                <w:rFonts w:ascii="Arial" w:cs="Arial" w:eastAsia="Arial" w:hAnsi="Arial"/>
                <w:sz w:val="16"/>
                <w:szCs w:val="16"/>
                <w:color w:val="3E474E"/>
              </w:rPr>
              <w:t>242,050</w:t>
            </w:r>
          </w:p>
        </w:tc>
        <w:tc>
          <w:tcPr>
            <w:tcW w:w="2320" w:type="dxa"/>
            <w:vAlign w:val="bottom"/>
          </w:tcPr>
          <w:p>
            <w:pPr>
              <w:ind w:left="560"/>
              <w:spacing w:after="0"/>
              <w:rPr>
                <w:sz w:val="20"/>
                <w:szCs w:val="20"/>
                <w:color w:val="auto"/>
              </w:rPr>
            </w:pPr>
            <w:r>
              <w:rPr>
                <w:rFonts w:ascii="Arial" w:cs="Arial" w:eastAsia="Arial" w:hAnsi="Arial"/>
                <w:sz w:val="16"/>
                <w:szCs w:val="16"/>
                <w:color w:val="3E474E"/>
              </w:rPr>
              <w:t>326,766</w:t>
            </w:r>
          </w:p>
        </w:tc>
        <w:tc>
          <w:tcPr>
            <w:tcW w:w="60" w:type="dxa"/>
            <w:vAlign w:val="bottom"/>
          </w:tcPr>
          <w:p>
            <w:pPr>
              <w:spacing w:after="0"/>
              <w:rPr>
                <w:sz w:val="19"/>
                <w:szCs w:val="19"/>
                <w:color w:val="auto"/>
              </w:rPr>
            </w:pPr>
          </w:p>
        </w:tc>
      </w:tr>
    </w:tbl>
    <w:p>
      <w:pPr>
        <w:spacing w:after="0" w:line="312" w:lineRule="exact"/>
        <w:rPr>
          <w:sz w:val="20"/>
          <w:szCs w:val="20"/>
          <w:color w:val="auto"/>
        </w:rPr>
      </w:pPr>
    </w:p>
    <w:p>
      <w:pPr>
        <w:spacing w:after="0" w:line="286" w:lineRule="auto"/>
        <w:rPr>
          <w:sz w:val="20"/>
          <w:szCs w:val="20"/>
          <w:color w:val="auto"/>
        </w:rPr>
      </w:pPr>
      <w:r>
        <w:rPr>
          <w:rFonts w:ascii="Arial" w:cs="Arial" w:eastAsia="Arial" w:hAnsi="Arial"/>
          <w:sz w:val="16"/>
          <w:szCs w:val="16"/>
          <w:color w:val="3E474E"/>
        </w:rPr>
        <w:t>In connection with Mr. Apperson’s termination, Mr. Apperson received a pro-rata amount of the cash portion of his 2025 Legacy STIP award, and the equity portion was forfeited. See “Potential Payments Upon Termination or Change in Control” for additional information about Mr. Apperson’s separation payments.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57AED5"/>
        </w:rPr>
        <w:t>2025 LONG-TERM INCENTIVE PLAN</w:t>
      </w:r>
    </w:p>
    <w:p>
      <w:pPr>
        <w:spacing w:after="0" w:line="108"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3E474E"/>
        </w:rPr>
        <w:t xml:space="preserve">Long-term incentive compensation is a critical element of our executive compensation framework that aligns our NEOs’ compensation with the Company’s long-term strategy, stockholder interests and retention. Historically, our NEOs’ equity award opportunity was granted under our STIP, representing the equity portion of the award. Beginning in 2025, in light of the Company’s ongoing leadership transition and strategic evolution, and in order to increase the portion of our NEOs’ compensation that is delivered in the form of equity the Compensation Committee adopted a more market-aligned approach to the 2025 long-term incentive plan (the "2025 LTIP") where equity awards are granted at the commencement of the performance year. These equity awards are granted in the form of LTIP Units under our Equity Incentive Plan. For definition of LTIP Units, please refer to LTIP Units section on page </w:t>
      </w:r>
      <w:r>
        <w:rPr>
          <w:rFonts w:ascii="Arial" w:cs="Arial" w:eastAsia="Arial" w:hAnsi="Arial"/>
          <w:sz w:val="16"/>
          <w:szCs w:val="16"/>
          <w:u w:val="single" w:color="auto"/>
          <w:color w:val="0000FF"/>
        </w:rPr>
        <w:t>47</w:t>
      </w:r>
      <w:r>
        <w:rPr>
          <w:rFonts w:ascii="Arial" w:cs="Arial" w:eastAsia="Arial" w:hAnsi="Arial"/>
          <w:sz w:val="16"/>
          <w:szCs w:val="16"/>
          <w:color w:val="3E474E"/>
        </w:rPr>
        <w: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478A3"/>
        </w:rPr>
        <w:t>Time-Based LTIP Units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1478A3"/>
        </w:rPr>
        <w:t>Performance-Based LTIP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4" w:right="100" w:hanging="104"/>
        <w:spacing w:after="0" w:line="231" w:lineRule="auto"/>
        <w:tabs>
          <w:tab w:leader="none" w:pos="104" w:val="left"/>
        </w:tabs>
        <w:numPr>
          <w:ilvl w:val="0"/>
          <w:numId w:val="76"/>
        </w:numPr>
        <w:rPr>
          <w:rFonts w:ascii="Times New Roman" w:cs="Times New Roman" w:eastAsia="Times New Roman" w:hAnsi="Times New Roman"/>
          <w:sz w:val="18"/>
          <w:szCs w:val="18"/>
          <w:b w:val="1"/>
          <w:bCs w:val="1"/>
          <w:color w:val="1478A3"/>
        </w:rPr>
      </w:pPr>
      <w:r>
        <w:rPr>
          <w:rFonts w:ascii="Arial" w:cs="Arial" w:eastAsia="Arial" w:hAnsi="Arial"/>
          <w:sz w:val="16"/>
          <w:szCs w:val="16"/>
          <w:color w:val="auto"/>
        </w:rPr>
        <w:t>Designed to promote retention, reinforce our NEOs’ alignment with our stockholders and promote an ownership mentality for our management team</w:t>
      </w:r>
    </w:p>
    <w:p>
      <w:pPr>
        <w:spacing w:after="0" w:line="69" w:lineRule="exact"/>
        <w:rPr>
          <w:rFonts w:ascii="Times New Roman" w:cs="Times New Roman" w:eastAsia="Times New Roman" w:hAnsi="Times New Roman"/>
          <w:sz w:val="18"/>
          <w:szCs w:val="18"/>
          <w:b w:val="1"/>
          <w:bCs w:val="1"/>
          <w:color w:val="1478A3"/>
        </w:rPr>
      </w:pPr>
    </w:p>
    <w:p>
      <w:pPr>
        <w:ind w:left="104" w:hanging="104"/>
        <w:spacing w:after="0"/>
        <w:tabs>
          <w:tab w:leader="none" w:pos="104" w:val="left"/>
        </w:tabs>
        <w:numPr>
          <w:ilvl w:val="0"/>
          <w:numId w:val="76"/>
        </w:numPr>
        <w:rPr>
          <w:rFonts w:ascii="Times New Roman" w:cs="Times New Roman" w:eastAsia="Times New Roman" w:hAnsi="Times New Roman"/>
          <w:sz w:val="18"/>
          <w:szCs w:val="18"/>
          <w:b w:val="1"/>
          <w:bCs w:val="1"/>
          <w:color w:val="1478A3"/>
        </w:rPr>
      </w:pPr>
      <w:r>
        <w:rPr>
          <w:rFonts w:ascii="Arial" w:cs="Arial" w:eastAsia="Arial" w:hAnsi="Arial"/>
          <w:sz w:val="16"/>
          <w:szCs w:val="16"/>
          <w:color w:val="auto"/>
        </w:rPr>
        <w:t>Granted in LTIP Units that vest ratably over three years</w:t>
      </w:r>
    </w:p>
    <w:p>
      <w:pPr>
        <w:spacing w:after="0" w:line="225" w:lineRule="exact"/>
        <w:rPr>
          <w:rFonts w:ascii="Times New Roman" w:cs="Times New Roman" w:eastAsia="Times New Roman" w:hAnsi="Times New Roman"/>
          <w:sz w:val="18"/>
          <w:szCs w:val="18"/>
          <w:b w:val="1"/>
          <w:bCs w:val="1"/>
          <w:color w:val="1478A3"/>
        </w:rPr>
      </w:pPr>
    </w:p>
    <w:p>
      <w:pPr>
        <w:ind w:left="104" w:hanging="104"/>
        <w:spacing w:after="0"/>
        <w:tabs>
          <w:tab w:leader="none" w:pos="104" w:val="left"/>
        </w:tabs>
        <w:numPr>
          <w:ilvl w:val="0"/>
          <w:numId w:val="76"/>
        </w:numPr>
        <w:rPr>
          <w:rFonts w:ascii="Times New Roman" w:cs="Times New Roman" w:eastAsia="Times New Roman" w:hAnsi="Times New Roman"/>
          <w:sz w:val="18"/>
          <w:szCs w:val="18"/>
          <w:b w:val="1"/>
          <w:bCs w:val="1"/>
          <w:color w:val="1478A3"/>
        </w:rPr>
      </w:pPr>
      <w:r>
        <w:rPr>
          <w:rFonts w:ascii="Arial" w:cs="Arial" w:eastAsia="Arial" w:hAnsi="Arial"/>
          <w:sz w:val="16"/>
          <w:szCs w:val="16"/>
          <w:color w:val="auto"/>
        </w:rPr>
        <w:t>Designed to encourage our NEOs to focus on sustaining our long-term performance</w:t>
      </w:r>
    </w:p>
    <w:p>
      <w:pPr>
        <w:spacing w:after="0" w:line="130" w:lineRule="exact"/>
        <w:rPr>
          <w:rFonts w:ascii="Times New Roman" w:cs="Times New Roman" w:eastAsia="Times New Roman" w:hAnsi="Times New Roman"/>
          <w:sz w:val="18"/>
          <w:szCs w:val="18"/>
          <w:b w:val="1"/>
          <w:bCs w:val="1"/>
          <w:color w:val="1478A3"/>
        </w:rPr>
      </w:pPr>
    </w:p>
    <w:p>
      <w:pPr>
        <w:ind w:left="104" w:right="120" w:hanging="104"/>
        <w:spacing w:after="0" w:line="187" w:lineRule="auto"/>
        <w:tabs>
          <w:tab w:leader="none" w:pos="104" w:val="left"/>
        </w:tabs>
        <w:numPr>
          <w:ilvl w:val="0"/>
          <w:numId w:val="76"/>
        </w:numPr>
        <w:rPr>
          <w:rFonts w:ascii="Times New Roman" w:cs="Times New Roman" w:eastAsia="Times New Roman" w:hAnsi="Times New Roman"/>
          <w:sz w:val="28"/>
          <w:szCs w:val="28"/>
          <w:b w:val="1"/>
          <w:bCs w:val="1"/>
          <w:color w:val="1478A3"/>
          <w:vertAlign w:val="subscript"/>
        </w:rPr>
      </w:pPr>
      <w:r>
        <w:rPr>
          <w:rFonts w:ascii="Arial" w:cs="Arial" w:eastAsia="Arial" w:hAnsi="Arial"/>
          <w:sz w:val="14"/>
          <w:szCs w:val="14"/>
          <w:color w:val="auto"/>
        </w:rPr>
        <w:t>Granted in LTIP Units that vest at the end of a three-year performance period based on relative TSR performance compared to custom group of comparable REITs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-537845</wp:posOffset>
            </wp:positionV>
            <wp:extent cx="4860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36" w:space="720"/>
            <w:col w:w="7384"/>
          </w:cols>
          <w:pgMar w:left="320" w:top="130" w:right="339" w:bottom="1440" w:gutter="0" w:footer="0" w:header="0"/>
          <w:type w:val="continuous"/>
        </w:sectPr>
      </w:pPr>
    </w:p>
    <w:p>
      <w:pPr>
        <w:spacing w:after="0" w:line="112" w:lineRule="exact"/>
        <w:rPr>
          <w:sz w:val="20"/>
          <w:szCs w:val="20"/>
          <w:color w:val="auto"/>
        </w:rPr>
      </w:pPr>
    </w:p>
    <w:p>
      <w:pPr>
        <w:spacing w:after="0" w:line="304" w:lineRule="auto"/>
        <w:rPr>
          <w:sz w:val="20"/>
          <w:szCs w:val="20"/>
          <w:color w:val="auto"/>
        </w:rPr>
      </w:pPr>
      <w:r>
        <w:rPr>
          <w:rFonts w:ascii="Arial" w:cs="Arial" w:eastAsia="Arial" w:hAnsi="Arial"/>
          <w:sz w:val="16"/>
          <w:szCs w:val="16"/>
          <w:color w:val="3E474E"/>
        </w:rPr>
        <w:t>On February 13, 2025, the Compensation Committee approved grants of Time-Based LTIP Units and Performance-Based LTIP Units to Messrs. Tibbetts and Barnes-Smith.</w:t>
      </w:r>
    </w:p>
    <w:p>
      <w:pPr>
        <w:spacing w:after="0" w:line="168"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3E474E"/>
        </w:rPr>
        <w:t>The 2025 LTIP Unit values were determined at the discretion of the Compensation Committee based on a review of competitive market data, internal equity considerations and Company and individual performance, which amounts are set forth in the table below. Mr. Apperson did not receive an award under the 2025 LTIP.</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Borders>
              <w:bottom w:val="single" w:sz="8" w:color="E3EAEE"/>
            </w:tcBorders>
            <w:shd w:val="clear" w:color="auto" w:fill="E3EAEE"/>
          </w:tcPr>
          <w:p>
            <w:pPr>
              <w:spacing w:after="0"/>
              <w:rPr>
                <w:sz w:val="21"/>
                <w:szCs w:val="21"/>
                <w:color w:val="auto"/>
              </w:rPr>
            </w:pPr>
          </w:p>
        </w:tc>
        <w:tc>
          <w:tcPr>
            <w:tcW w:w="5020" w:type="dxa"/>
            <w:vAlign w:val="bottom"/>
            <w:tcBorders>
              <w:bottom w:val="single" w:sz="8" w:color="1478A3"/>
            </w:tcBorders>
            <w:gridSpan w:val="2"/>
            <w:shd w:val="clear" w:color="auto" w:fill="E3EAEE"/>
          </w:tcPr>
          <w:p>
            <w:pPr>
              <w:jc w:val="right"/>
              <w:ind w:right="1699"/>
              <w:spacing w:after="0"/>
              <w:rPr>
                <w:sz w:val="20"/>
                <w:szCs w:val="20"/>
                <w:color w:val="auto"/>
              </w:rPr>
            </w:pPr>
            <w:r>
              <w:rPr>
                <w:rFonts w:ascii="Arial" w:cs="Arial" w:eastAsia="Arial" w:hAnsi="Arial"/>
                <w:sz w:val="16"/>
                <w:szCs w:val="16"/>
                <w:b w:val="1"/>
                <w:bCs w:val="1"/>
                <w:color w:val="1478A3"/>
              </w:rPr>
              <w:t>2025 Target LTIP</w:t>
            </w:r>
          </w:p>
        </w:tc>
      </w:tr>
      <w:tr>
        <w:trPr>
          <w:trHeight w:val="209"/>
        </w:trPr>
        <w:tc>
          <w:tcPr>
            <w:tcW w:w="6200" w:type="dxa"/>
            <w:vAlign w:val="bottom"/>
            <w:shd w:val="clear" w:color="auto" w:fill="E3EAEE"/>
          </w:tcPr>
          <w:p>
            <w:pPr>
              <w:ind w:left="140"/>
              <w:spacing w:after="0"/>
              <w:rPr>
                <w:sz w:val="20"/>
                <w:szCs w:val="20"/>
                <w:color w:val="auto"/>
              </w:rPr>
            </w:pPr>
            <w:r>
              <w:rPr>
                <w:rFonts w:ascii="Arial" w:cs="Arial" w:eastAsia="Arial" w:hAnsi="Arial"/>
                <w:sz w:val="16"/>
                <w:szCs w:val="16"/>
                <w:b w:val="1"/>
                <w:bCs w:val="1"/>
                <w:color w:val="1478A3"/>
              </w:rPr>
              <w:t>Name</w:t>
            </w:r>
          </w:p>
        </w:tc>
        <w:tc>
          <w:tcPr>
            <w:tcW w:w="2720" w:type="dxa"/>
            <w:vAlign w:val="bottom"/>
            <w:shd w:val="clear" w:color="auto" w:fill="E3EAEE"/>
          </w:tcPr>
          <w:p>
            <w:pPr>
              <w:jc w:val="right"/>
              <w:ind w:right="159"/>
              <w:spacing w:after="0"/>
              <w:rPr>
                <w:sz w:val="20"/>
                <w:szCs w:val="20"/>
                <w:color w:val="auto"/>
              </w:rPr>
            </w:pPr>
            <w:r>
              <w:rPr>
                <w:rFonts w:ascii="Arial" w:cs="Arial" w:eastAsia="Arial" w:hAnsi="Arial"/>
                <w:sz w:val="16"/>
                <w:szCs w:val="16"/>
                <w:b w:val="1"/>
                <w:bCs w:val="1"/>
                <w:color w:val="1478A3"/>
              </w:rPr>
              <w:t>Target Time-Based</w:t>
            </w:r>
          </w:p>
        </w:tc>
        <w:tc>
          <w:tcPr>
            <w:tcW w:w="230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Target Performance-Based</w:t>
            </w:r>
          </w:p>
        </w:tc>
      </w:tr>
      <w:tr>
        <w:trPr>
          <w:trHeight w:val="226"/>
        </w:trPr>
        <w:tc>
          <w:tcPr>
            <w:tcW w:w="6200" w:type="dxa"/>
            <w:vAlign w:val="bottom"/>
            <w:tcBorders>
              <w:bottom w:val="single" w:sz="8" w:color="007AA7"/>
            </w:tcBorders>
            <w:shd w:val="clear" w:color="auto" w:fill="E3EAEE"/>
          </w:tcPr>
          <w:p>
            <w:pPr>
              <w:spacing w:after="0"/>
              <w:rPr>
                <w:sz w:val="19"/>
                <w:szCs w:val="19"/>
                <w:color w:val="auto"/>
              </w:rPr>
            </w:pPr>
          </w:p>
        </w:tc>
        <w:tc>
          <w:tcPr>
            <w:tcW w:w="2720" w:type="dxa"/>
            <w:vAlign w:val="bottom"/>
            <w:tcBorders>
              <w:bottom w:val="single" w:sz="8" w:color="007AA7"/>
            </w:tcBorders>
            <w:shd w:val="clear" w:color="auto" w:fill="E3EAEE"/>
          </w:tcPr>
          <w:p>
            <w:pPr>
              <w:jc w:val="right"/>
              <w:ind w:right="159"/>
              <w:spacing w:after="0"/>
              <w:rPr>
                <w:sz w:val="20"/>
                <w:szCs w:val="20"/>
                <w:color w:val="auto"/>
              </w:rPr>
            </w:pPr>
            <w:r>
              <w:rPr>
                <w:rFonts w:ascii="Arial" w:cs="Arial" w:eastAsia="Arial" w:hAnsi="Arial"/>
                <w:sz w:val="16"/>
                <w:szCs w:val="16"/>
                <w:b w:val="1"/>
                <w:bCs w:val="1"/>
                <w:color w:val="1478A3"/>
              </w:rPr>
              <w:t>LTIP Units</w:t>
            </w:r>
          </w:p>
        </w:tc>
        <w:tc>
          <w:tcPr>
            <w:tcW w:w="2300" w:type="dxa"/>
            <w:vAlign w:val="bottom"/>
            <w:tcBorders>
              <w:bottom w:val="single" w:sz="8" w:color="007AA7"/>
            </w:tcBorders>
            <w:shd w:val="clear" w:color="auto" w:fill="E3EAEE"/>
          </w:tcPr>
          <w:p>
            <w:pPr>
              <w:jc w:val="right"/>
              <w:spacing w:after="0"/>
              <w:rPr>
                <w:sz w:val="20"/>
                <w:szCs w:val="20"/>
                <w:color w:val="auto"/>
              </w:rPr>
            </w:pPr>
            <w:r>
              <w:rPr>
                <w:rFonts w:ascii="Arial" w:cs="Arial" w:eastAsia="Arial" w:hAnsi="Arial"/>
                <w:sz w:val="16"/>
                <w:szCs w:val="16"/>
                <w:b w:val="1"/>
                <w:bCs w:val="1"/>
                <w:color w:val="1478A3"/>
              </w:rPr>
              <w:t>LTIP Units</w:t>
            </w:r>
          </w:p>
        </w:tc>
      </w:tr>
      <w:tr>
        <w:trPr>
          <w:trHeight w:val="233"/>
        </w:trPr>
        <w:tc>
          <w:tcPr>
            <w:tcW w:w="6200" w:type="dxa"/>
            <w:vAlign w:val="bottom"/>
          </w:tcPr>
          <w:p>
            <w:pPr>
              <w:ind w:left="140"/>
              <w:spacing w:after="0"/>
              <w:rPr>
                <w:sz w:val="20"/>
                <w:szCs w:val="20"/>
                <w:color w:val="auto"/>
              </w:rPr>
            </w:pPr>
            <w:r>
              <w:rPr>
                <w:rFonts w:ascii="Arial" w:cs="Arial" w:eastAsia="Arial" w:hAnsi="Arial"/>
                <w:sz w:val="16"/>
                <w:szCs w:val="16"/>
                <w:color w:val="3E474E"/>
              </w:rPr>
              <w:t>Shawn J. Tibbetts</w:t>
            </w:r>
          </w:p>
        </w:tc>
        <w:tc>
          <w:tcPr>
            <w:tcW w:w="2720" w:type="dxa"/>
            <w:vAlign w:val="bottom"/>
          </w:tcPr>
          <w:p>
            <w:pPr>
              <w:jc w:val="right"/>
              <w:ind w:right="159"/>
              <w:spacing w:after="0"/>
              <w:rPr>
                <w:sz w:val="20"/>
                <w:szCs w:val="20"/>
                <w:color w:val="auto"/>
              </w:rPr>
            </w:pPr>
            <w:r>
              <w:rPr>
                <w:rFonts w:ascii="Arial" w:cs="Arial" w:eastAsia="Arial" w:hAnsi="Arial"/>
                <w:sz w:val="16"/>
                <w:szCs w:val="16"/>
                <w:color w:val="3E474E"/>
              </w:rPr>
              <w:t>$850,000</w:t>
            </w:r>
          </w:p>
        </w:tc>
        <w:tc>
          <w:tcPr>
            <w:tcW w:w="2300" w:type="dxa"/>
            <w:vAlign w:val="bottom"/>
          </w:tcPr>
          <w:p>
            <w:pPr>
              <w:jc w:val="right"/>
              <w:spacing w:after="0"/>
              <w:rPr>
                <w:sz w:val="20"/>
                <w:szCs w:val="20"/>
                <w:color w:val="auto"/>
              </w:rPr>
            </w:pPr>
            <w:r>
              <w:rPr>
                <w:rFonts w:ascii="Arial" w:cs="Arial" w:eastAsia="Arial" w:hAnsi="Arial"/>
                <w:sz w:val="16"/>
                <w:szCs w:val="16"/>
                <w:color w:val="3E474E"/>
              </w:rPr>
              <w:t>$750,000</w:t>
            </w:r>
          </w:p>
        </w:tc>
      </w:tr>
      <w:tr>
        <w:trPr>
          <w:trHeight w:val="244"/>
        </w:trPr>
        <w:tc>
          <w:tcPr>
            <w:tcW w:w="6200" w:type="dxa"/>
            <w:vAlign w:val="bottom"/>
            <w:tcBorders>
              <w:bottom w:val="single" w:sz="8" w:color="1478A3"/>
            </w:tcBorders>
            <w:shd w:val="clear" w:color="auto" w:fill="E3EAEE"/>
          </w:tcPr>
          <w:p>
            <w:pPr>
              <w:ind w:left="100"/>
              <w:spacing w:after="0"/>
              <w:rPr>
                <w:sz w:val="20"/>
                <w:szCs w:val="20"/>
                <w:color w:val="auto"/>
              </w:rPr>
            </w:pPr>
            <w:r>
              <w:rPr>
                <w:rFonts w:ascii="Arial" w:cs="Arial" w:eastAsia="Arial" w:hAnsi="Arial"/>
                <w:sz w:val="16"/>
                <w:szCs w:val="16"/>
                <w:color w:val="3E474E"/>
              </w:rPr>
              <w:t>Matthew T. Barnes-Smith</w:t>
            </w:r>
          </w:p>
        </w:tc>
        <w:tc>
          <w:tcPr>
            <w:tcW w:w="2720" w:type="dxa"/>
            <w:vAlign w:val="bottom"/>
            <w:tcBorders>
              <w:bottom w:val="single" w:sz="8" w:color="1478A3"/>
            </w:tcBorders>
            <w:shd w:val="clear" w:color="auto" w:fill="E3EAEE"/>
          </w:tcPr>
          <w:p>
            <w:pPr>
              <w:jc w:val="right"/>
              <w:ind w:right="159"/>
              <w:spacing w:after="0"/>
              <w:rPr>
                <w:sz w:val="20"/>
                <w:szCs w:val="20"/>
                <w:color w:val="auto"/>
              </w:rPr>
            </w:pPr>
            <w:r>
              <w:rPr>
                <w:rFonts w:ascii="Arial" w:cs="Arial" w:eastAsia="Arial" w:hAnsi="Arial"/>
                <w:sz w:val="16"/>
                <w:szCs w:val="16"/>
                <w:color w:val="3E474E"/>
              </w:rPr>
              <w:t>$325,000</w:t>
            </w:r>
          </w:p>
        </w:tc>
        <w:tc>
          <w:tcPr>
            <w:tcW w:w="2300" w:type="dxa"/>
            <w:vAlign w:val="bottom"/>
            <w:tcBorders>
              <w:bottom w:val="single" w:sz="8" w:color="1478A3"/>
            </w:tcBorders>
            <w:shd w:val="clear" w:color="auto" w:fill="E3EAEE"/>
          </w:tcPr>
          <w:p>
            <w:pPr>
              <w:jc w:val="right"/>
              <w:spacing w:after="0"/>
              <w:rPr>
                <w:sz w:val="20"/>
                <w:szCs w:val="20"/>
                <w:color w:val="auto"/>
              </w:rPr>
            </w:pPr>
            <w:r>
              <w:rPr>
                <w:rFonts w:ascii="Arial" w:cs="Arial" w:eastAsia="Arial" w:hAnsi="Arial"/>
                <w:sz w:val="16"/>
                <w:szCs w:val="16"/>
                <w:color w:val="3E474E"/>
              </w:rPr>
              <w:t>$300,000</w:t>
            </w:r>
          </w:p>
        </w:tc>
      </w:tr>
      <w:tr>
        <w:trPr>
          <w:trHeight w:val="236"/>
        </w:trPr>
        <w:tc>
          <w:tcPr>
            <w:tcW w:w="6200" w:type="dxa"/>
            <w:vAlign w:val="bottom"/>
            <w:tcBorders>
              <w:bottom w:val="single" w:sz="8" w:color="1478A3"/>
            </w:tcBorders>
          </w:tcPr>
          <w:p>
            <w:pPr>
              <w:ind w:left="20"/>
              <w:spacing w:after="0"/>
              <w:rPr>
                <w:sz w:val="20"/>
                <w:szCs w:val="20"/>
                <w:color w:val="auto"/>
              </w:rPr>
            </w:pPr>
            <w:r>
              <w:rPr>
                <w:rFonts w:ascii="Arial" w:cs="Arial" w:eastAsia="Arial" w:hAnsi="Arial"/>
                <w:sz w:val="16"/>
                <w:szCs w:val="16"/>
                <w:color w:val="3E474E"/>
              </w:rPr>
              <w:t>Total 2025 LTIP</w:t>
            </w:r>
          </w:p>
        </w:tc>
        <w:tc>
          <w:tcPr>
            <w:tcW w:w="2720" w:type="dxa"/>
            <w:vAlign w:val="bottom"/>
            <w:tcBorders>
              <w:bottom w:val="single" w:sz="8" w:color="1478A3"/>
            </w:tcBorders>
          </w:tcPr>
          <w:p>
            <w:pPr>
              <w:jc w:val="right"/>
              <w:ind w:right="159"/>
              <w:spacing w:after="0"/>
              <w:rPr>
                <w:sz w:val="20"/>
                <w:szCs w:val="20"/>
                <w:color w:val="auto"/>
              </w:rPr>
            </w:pPr>
            <w:r>
              <w:rPr>
                <w:rFonts w:ascii="Arial" w:cs="Arial" w:eastAsia="Arial" w:hAnsi="Arial"/>
                <w:sz w:val="16"/>
                <w:szCs w:val="16"/>
                <w:color w:val="3E474E"/>
              </w:rPr>
              <w:t>$1,175,000</w:t>
            </w:r>
          </w:p>
        </w:tc>
        <w:tc>
          <w:tcPr>
            <w:tcW w:w="2300" w:type="dxa"/>
            <w:vAlign w:val="bottom"/>
            <w:tcBorders>
              <w:bottom w:val="single" w:sz="8" w:color="1478A3"/>
            </w:tcBorders>
          </w:tcPr>
          <w:p>
            <w:pPr>
              <w:jc w:val="right"/>
              <w:spacing w:after="0"/>
              <w:rPr>
                <w:sz w:val="20"/>
                <w:szCs w:val="20"/>
                <w:color w:val="auto"/>
              </w:rPr>
            </w:pPr>
            <w:r>
              <w:rPr>
                <w:rFonts w:ascii="Arial" w:cs="Arial" w:eastAsia="Arial" w:hAnsi="Arial"/>
                <w:sz w:val="16"/>
                <w:szCs w:val="16"/>
                <w:color w:val="3E474E"/>
              </w:rPr>
              <w:t>$1,050,000</w:t>
            </w:r>
          </w:p>
        </w:tc>
      </w:tr>
      <w:tr>
        <w:trPr>
          <w:trHeight w:val="27"/>
        </w:trPr>
        <w:tc>
          <w:tcPr>
            <w:tcW w:w="6200" w:type="dxa"/>
            <w:vAlign w:val="bottom"/>
            <w:tcBorders>
              <w:bottom w:val="single" w:sz="8" w:color="1478A3"/>
            </w:tcBorders>
          </w:tcPr>
          <w:p>
            <w:pPr>
              <w:spacing w:after="0"/>
              <w:rPr>
                <w:sz w:val="2"/>
                <w:szCs w:val="2"/>
                <w:color w:val="auto"/>
              </w:rPr>
            </w:pPr>
          </w:p>
        </w:tc>
        <w:tc>
          <w:tcPr>
            <w:tcW w:w="2720" w:type="dxa"/>
            <w:vAlign w:val="bottom"/>
            <w:tcBorders>
              <w:bottom w:val="single" w:sz="8" w:color="1478A3"/>
            </w:tcBorders>
          </w:tcPr>
          <w:p>
            <w:pPr>
              <w:spacing w:after="0"/>
              <w:rPr>
                <w:sz w:val="2"/>
                <w:szCs w:val="2"/>
                <w:color w:val="auto"/>
              </w:rPr>
            </w:pPr>
          </w:p>
        </w:tc>
        <w:tc>
          <w:tcPr>
            <w:tcW w:w="2300" w:type="dxa"/>
            <w:vAlign w:val="bottom"/>
            <w:tcBorders>
              <w:bottom w:val="single" w:sz="8" w:color="1478A3"/>
            </w:tcBorders>
          </w:tcPr>
          <w:p>
            <w:pPr>
              <w:spacing w:after="0"/>
              <w:rPr>
                <w:sz w:val="2"/>
                <w:szCs w:val="2"/>
                <w:color w:val="auto"/>
              </w:rPr>
            </w:pPr>
          </w:p>
        </w:tc>
      </w:tr>
    </w:tbl>
    <w:p>
      <w:pPr>
        <w:spacing w:after="0" w:line="18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3E474E"/>
        </w:rPr>
        <w:t>The Time-Based LTIP Units vest one-third on each of the first three anniversaries of the grant date, subject to continued employment through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750570</wp:posOffset>
            </wp:positionV>
            <wp:extent cx="825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750570</wp:posOffset>
            </wp:positionV>
            <wp:extent cx="8255"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45</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747C83"/>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100"/>
        <w:spacing w:after="0" w:line="265" w:lineRule="auto"/>
        <w:rPr>
          <w:sz w:val="20"/>
          <w:szCs w:val="20"/>
          <w:color w:val="auto"/>
        </w:rPr>
      </w:pPr>
      <w:r>
        <w:rPr>
          <w:rFonts w:ascii="Arial" w:cs="Arial" w:eastAsia="Arial" w:hAnsi="Arial"/>
          <w:sz w:val="16"/>
          <w:szCs w:val="16"/>
          <w:color w:val="3E474E"/>
        </w:rPr>
        <w:t>The Performance-Based LTIP Units vest based on the Company’s relative TSR performance against a comparator group of peer companies at the end of a three-year performance period, subject to continued employment through such vesting date. The Performance- Based LTIP Awards may vest between 50% and 200% of target (at threshold and maximum, with interpolation used where performance falls between stated goals). To the extent that performance falls below threshold, no awards will be earned. The following reflects the performance metrics for the Performance-Based LTIP Units: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Borders>
              <w:bottom w:val="single" w:sz="8" w:color="E3EAEE"/>
            </w:tcBorders>
            <w:shd w:val="clear" w:color="auto" w:fill="E3EAEE"/>
          </w:tcPr>
          <w:p>
            <w:pPr>
              <w:spacing w:after="0"/>
              <w:rPr>
                <w:sz w:val="21"/>
                <w:szCs w:val="21"/>
                <w:color w:val="auto"/>
              </w:rPr>
            </w:pPr>
          </w:p>
        </w:tc>
        <w:tc>
          <w:tcPr>
            <w:tcW w:w="4620" w:type="dxa"/>
            <w:vAlign w:val="bottom"/>
            <w:tcBorders>
              <w:bottom w:val="single" w:sz="8" w:color="007AA7"/>
            </w:tcBorders>
            <w:gridSpan w:val="3"/>
            <w:shd w:val="clear" w:color="auto" w:fill="E3EAEE"/>
          </w:tcPr>
          <w:p>
            <w:pPr>
              <w:jc w:val="right"/>
              <w:ind w:right="1099"/>
              <w:spacing w:after="0"/>
              <w:rPr>
                <w:sz w:val="20"/>
                <w:szCs w:val="20"/>
                <w:color w:val="auto"/>
              </w:rPr>
            </w:pPr>
            <w:r>
              <w:rPr>
                <w:rFonts w:ascii="Arial" w:cs="Arial" w:eastAsia="Arial" w:hAnsi="Arial"/>
                <w:sz w:val="16"/>
                <w:szCs w:val="16"/>
                <w:b w:val="1"/>
                <w:bCs w:val="1"/>
                <w:color w:val="1478A3"/>
              </w:rPr>
              <w:t>2025 LTIP Performance Goals</w:t>
            </w:r>
          </w:p>
        </w:tc>
      </w:tr>
      <w:tr>
        <w:trPr>
          <w:trHeight w:val="196"/>
        </w:trPr>
        <w:tc>
          <w:tcPr>
            <w:tcW w:w="6620" w:type="dxa"/>
            <w:vAlign w:val="bottom"/>
            <w:shd w:val="clear" w:color="auto" w:fill="E3EAEE"/>
          </w:tcPr>
          <w:p>
            <w:pPr>
              <w:spacing w:after="0"/>
              <w:rPr>
                <w:sz w:val="17"/>
                <w:szCs w:val="17"/>
                <w:color w:val="auto"/>
              </w:rPr>
            </w:pPr>
          </w:p>
        </w:tc>
        <w:tc>
          <w:tcPr>
            <w:tcW w:w="1620" w:type="dxa"/>
            <w:vAlign w:val="bottom"/>
            <w:shd w:val="clear" w:color="auto" w:fill="E3EAEE"/>
          </w:tcPr>
          <w:p>
            <w:pPr>
              <w:jc w:val="right"/>
              <w:ind w:right="59"/>
              <w:spacing w:after="0"/>
              <w:rPr>
                <w:sz w:val="20"/>
                <w:szCs w:val="20"/>
                <w:color w:val="auto"/>
              </w:rPr>
            </w:pPr>
            <w:r>
              <w:rPr>
                <w:rFonts w:ascii="Arial" w:cs="Arial" w:eastAsia="Arial" w:hAnsi="Arial"/>
                <w:sz w:val="16"/>
                <w:szCs w:val="16"/>
                <w:b w:val="1"/>
                <w:bCs w:val="1"/>
                <w:color w:val="1478A3"/>
              </w:rPr>
              <w:t>Threshold</w:t>
            </w:r>
          </w:p>
        </w:tc>
        <w:tc>
          <w:tcPr>
            <w:tcW w:w="1580" w:type="dxa"/>
            <w:vAlign w:val="bottom"/>
            <w:shd w:val="clear" w:color="auto" w:fill="E3EAEE"/>
          </w:tcPr>
          <w:p>
            <w:pPr>
              <w:jc w:val="right"/>
              <w:ind w:right="79"/>
              <w:spacing w:after="0"/>
              <w:rPr>
                <w:sz w:val="20"/>
                <w:szCs w:val="20"/>
                <w:color w:val="auto"/>
              </w:rPr>
            </w:pPr>
            <w:r>
              <w:rPr>
                <w:rFonts w:ascii="Arial" w:cs="Arial" w:eastAsia="Arial" w:hAnsi="Arial"/>
                <w:sz w:val="16"/>
                <w:szCs w:val="16"/>
                <w:b w:val="1"/>
                <w:bCs w:val="1"/>
                <w:color w:val="1478A3"/>
              </w:rPr>
              <w:t>Target</w:t>
            </w:r>
          </w:p>
        </w:tc>
        <w:tc>
          <w:tcPr>
            <w:tcW w:w="142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Maximum</w:t>
            </w:r>
          </w:p>
        </w:tc>
      </w:tr>
      <w:tr>
        <w:trPr>
          <w:trHeight w:val="223"/>
        </w:trPr>
        <w:tc>
          <w:tcPr>
            <w:tcW w:w="6620" w:type="dxa"/>
            <w:vAlign w:val="bottom"/>
            <w:shd w:val="clear" w:color="auto" w:fill="E3EAEE"/>
          </w:tcPr>
          <w:p>
            <w:pPr>
              <w:spacing w:after="0"/>
              <w:rPr>
                <w:sz w:val="19"/>
                <w:szCs w:val="19"/>
                <w:color w:val="auto"/>
              </w:rPr>
            </w:pPr>
          </w:p>
        </w:tc>
        <w:tc>
          <w:tcPr>
            <w:tcW w:w="1620" w:type="dxa"/>
            <w:vAlign w:val="bottom"/>
            <w:shd w:val="clear" w:color="auto" w:fill="E3EAEE"/>
          </w:tcPr>
          <w:p>
            <w:pPr>
              <w:jc w:val="right"/>
              <w:ind w:right="59"/>
              <w:spacing w:after="0"/>
              <w:rPr>
                <w:sz w:val="20"/>
                <w:szCs w:val="20"/>
                <w:color w:val="auto"/>
              </w:rPr>
            </w:pPr>
            <w:r>
              <w:rPr>
                <w:rFonts w:ascii="Arial" w:cs="Arial" w:eastAsia="Arial" w:hAnsi="Arial"/>
                <w:sz w:val="16"/>
                <w:szCs w:val="16"/>
                <w:b w:val="1"/>
                <w:bCs w:val="1"/>
                <w:color w:val="1478A3"/>
              </w:rPr>
              <w:t>(50% of Target)</w:t>
            </w:r>
          </w:p>
        </w:tc>
        <w:tc>
          <w:tcPr>
            <w:tcW w:w="1580" w:type="dxa"/>
            <w:vAlign w:val="bottom"/>
            <w:shd w:val="clear" w:color="auto" w:fill="E3EAEE"/>
          </w:tcPr>
          <w:p>
            <w:pPr>
              <w:jc w:val="right"/>
              <w:ind w:right="79"/>
              <w:spacing w:after="0"/>
              <w:rPr>
                <w:sz w:val="20"/>
                <w:szCs w:val="20"/>
                <w:color w:val="auto"/>
              </w:rPr>
            </w:pPr>
            <w:r>
              <w:rPr>
                <w:rFonts w:ascii="Arial" w:cs="Arial" w:eastAsia="Arial" w:hAnsi="Arial"/>
                <w:sz w:val="16"/>
                <w:szCs w:val="16"/>
                <w:b w:val="1"/>
                <w:bCs w:val="1"/>
                <w:color w:val="1478A3"/>
              </w:rPr>
              <w:t>(100% of Target)</w:t>
            </w:r>
          </w:p>
        </w:tc>
        <w:tc>
          <w:tcPr>
            <w:tcW w:w="142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(200% of Target)</w:t>
            </w:r>
          </w:p>
        </w:tc>
      </w:tr>
      <w:tr>
        <w:trPr>
          <w:trHeight w:val="75"/>
        </w:trPr>
        <w:tc>
          <w:tcPr>
            <w:tcW w:w="6620" w:type="dxa"/>
            <w:vAlign w:val="bottom"/>
            <w:tcBorders>
              <w:bottom w:val="single" w:sz="8" w:color="007AA7"/>
            </w:tcBorders>
            <w:shd w:val="clear" w:color="auto" w:fill="E3EAEE"/>
          </w:tcPr>
          <w:p>
            <w:pPr>
              <w:spacing w:after="0"/>
              <w:rPr>
                <w:sz w:val="6"/>
                <w:szCs w:val="6"/>
                <w:color w:val="auto"/>
              </w:rPr>
            </w:pPr>
          </w:p>
        </w:tc>
        <w:tc>
          <w:tcPr>
            <w:tcW w:w="1620" w:type="dxa"/>
            <w:vAlign w:val="bottom"/>
            <w:tcBorders>
              <w:bottom w:val="single" w:sz="8" w:color="007AA7"/>
            </w:tcBorders>
            <w:shd w:val="clear" w:color="auto" w:fill="E3EAEE"/>
          </w:tcPr>
          <w:p>
            <w:pPr>
              <w:spacing w:after="0"/>
              <w:rPr>
                <w:sz w:val="6"/>
                <w:szCs w:val="6"/>
                <w:color w:val="auto"/>
              </w:rPr>
            </w:pPr>
          </w:p>
        </w:tc>
        <w:tc>
          <w:tcPr>
            <w:tcW w:w="1580" w:type="dxa"/>
            <w:vAlign w:val="bottom"/>
            <w:tcBorders>
              <w:bottom w:val="single" w:sz="8" w:color="007AA7"/>
            </w:tcBorders>
            <w:shd w:val="clear" w:color="auto" w:fill="E3EAEE"/>
          </w:tcPr>
          <w:p>
            <w:pPr>
              <w:spacing w:after="0"/>
              <w:rPr>
                <w:sz w:val="6"/>
                <w:szCs w:val="6"/>
                <w:color w:val="auto"/>
              </w:rPr>
            </w:pPr>
          </w:p>
        </w:tc>
        <w:tc>
          <w:tcPr>
            <w:tcW w:w="1420" w:type="dxa"/>
            <w:vAlign w:val="bottom"/>
            <w:tcBorders>
              <w:bottom w:val="single" w:sz="8" w:color="007AA7"/>
            </w:tcBorders>
            <w:shd w:val="clear" w:color="auto" w:fill="E3EAEE"/>
          </w:tcPr>
          <w:p>
            <w:pPr>
              <w:spacing w:after="0"/>
              <w:rPr>
                <w:sz w:val="6"/>
                <w:szCs w:val="6"/>
                <w:color w:val="auto"/>
              </w:rPr>
            </w:pPr>
          </w:p>
        </w:tc>
      </w:tr>
      <w:tr>
        <w:trPr>
          <w:trHeight w:val="303"/>
        </w:trPr>
        <w:tc>
          <w:tcPr>
            <w:tcW w:w="6620" w:type="dxa"/>
            <w:vAlign w:val="bottom"/>
          </w:tcPr>
          <w:p>
            <w:pPr>
              <w:ind w:left="140"/>
              <w:spacing w:after="0"/>
              <w:rPr>
                <w:sz w:val="20"/>
                <w:szCs w:val="20"/>
                <w:color w:val="auto"/>
              </w:rPr>
            </w:pPr>
            <w:r>
              <w:rPr>
                <w:rFonts w:ascii="Arial" w:cs="Arial" w:eastAsia="Arial" w:hAnsi="Arial"/>
                <w:sz w:val="16"/>
                <w:szCs w:val="16"/>
                <w:color w:val="3E474E"/>
              </w:rPr>
              <w:t>Relative TSR Performance v. Custom Peer Group</w:t>
            </w:r>
          </w:p>
        </w:tc>
        <w:tc>
          <w:tcPr>
            <w:tcW w:w="1620" w:type="dxa"/>
            <w:vAlign w:val="bottom"/>
          </w:tcPr>
          <w:p>
            <w:pPr>
              <w:jc w:val="right"/>
              <w:ind w:right="59"/>
              <w:spacing w:after="0"/>
              <w:rPr>
                <w:sz w:val="20"/>
                <w:szCs w:val="20"/>
                <w:color w:val="auto"/>
              </w:rPr>
            </w:pPr>
            <w:r>
              <w:rPr>
                <w:rFonts w:ascii="Arial" w:cs="Arial" w:eastAsia="Arial" w:hAnsi="Arial"/>
                <w:sz w:val="16"/>
                <w:szCs w:val="16"/>
                <w:color w:val="3E474E"/>
              </w:rPr>
              <w:t>25</w:t>
            </w:r>
            <w:r>
              <w:rPr>
                <w:rFonts w:ascii="Arial" w:cs="Arial" w:eastAsia="Arial" w:hAnsi="Arial"/>
                <w:sz w:val="23"/>
                <w:szCs w:val="23"/>
                <w:color w:val="3E474E"/>
                <w:vertAlign w:val="superscript"/>
              </w:rPr>
              <w:t>th</w:t>
            </w:r>
            <w:r>
              <w:rPr>
                <w:rFonts w:ascii="Arial" w:cs="Arial" w:eastAsia="Arial" w:hAnsi="Arial"/>
                <w:sz w:val="16"/>
                <w:szCs w:val="16"/>
                <w:color w:val="3E474E"/>
              </w:rPr>
              <w:t xml:space="preserve"> percentile</w:t>
            </w:r>
          </w:p>
        </w:tc>
        <w:tc>
          <w:tcPr>
            <w:tcW w:w="1580" w:type="dxa"/>
            <w:vAlign w:val="bottom"/>
          </w:tcPr>
          <w:p>
            <w:pPr>
              <w:jc w:val="right"/>
              <w:ind w:right="79"/>
              <w:spacing w:after="0"/>
              <w:rPr>
                <w:sz w:val="20"/>
                <w:szCs w:val="20"/>
                <w:color w:val="auto"/>
              </w:rPr>
            </w:pPr>
            <w:r>
              <w:rPr>
                <w:rFonts w:ascii="Arial" w:cs="Arial" w:eastAsia="Arial" w:hAnsi="Arial"/>
                <w:sz w:val="16"/>
                <w:szCs w:val="16"/>
                <w:color w:val="3E474E"/>
              </w:rPr>
              <w:t>55</w:t>
            </w:r>
            <w:r>
              <w:rPr>
                <w:rFonts w:ascii="Arial" w:cs="Arial" w:eastAsia="Arial" w:hAnsi="Arial"/>
                <w:sz w:val="23"/>
                <w:szCs w:val="23"/>
                <w:color w:val="3E474E"/>
                <w:vertAlign w:val="superscript"/>
              </w:rPr>
              <w:t>th</w:t>
            </w:r>
            <w:r>
              <w:rPr>
                <w:rFonts w:ascii="Arial" w:cs="Arial" w:eastAsia="Arial" w:hAnsi="Arial"/>
                <w:sz w:val="16"/>
                <w:szCs w:val="16"/>
                <w:color w:val="3E474E"/>
              </w:rPr>
              <w:t xml:space="preserve"> percentile</w:t>
            </w:r>
          </w:p>
        </w:tc>
        <w:tc>
          <w:tcPr>
            <w:tcW w:w="1420" w:type="dxa"/>
            <w:vAlign w:val="bottom"/>
          </w:tcPr>
          <w:p>
            <w:pPr>
              <w:jc w:val="right"/>
              <w:spacing w:after="0"/>
              <w:rPr>
                <w:sz w:val="20"/>
                <w:szCs w:val="20"/>
                <w:color w:val="auto"/>
              </w:rPr>
            </w:pPr>
            <w:r>
              <w:rPr>
                <w:rFonts w:ascii="Arial" w:cs="Arial" w:eastAsia="Arial" w:hAnsi="Arial"/>
                <w:sz w:val="16"/>
                <w:szCs w:val="16"/>
                <w:color w:val="3E474E"/>
              </w:rPr>
              <w:t>75</w:t>
            </w:r>
            <w:r>
              <w:rPr>
                <w:rFonts w:ascii="Arial" w:cs="Arial" w:eastAsia="Arial" w:hAnsi="Arial"/>
                <w:sz w:val="23"/>
                <w:szCs w:val="23"/>
                <w:color w:val="3E474E"/>
                <w:vertAlign w:val="superscript"/>
              </w:rPr>
              <w:t>th</w:t>
            </w:r>
            <w:r>
              <w:rPr>
                <w:rFonts w:ascii="Arial" w:cs="Arial" w:eastAsia="Arial" w:hAnsi="Arial"/>
                <w:sz w:val="16"/>
                <w:szCs w:val="16"/>
                <w:color w:val="3E474E"/>
              </w:rPr>
              <w:t xml:space="preserve"> percentile</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57AED5"/>
        </w:rPr>
        <w:t>2025 SPECIAL PERFORMANCE-BASED LTIP EQUITY AWARD PROGRAM</w:t>
      </w:r>
    </w:p>
    <w:p>
      <w:pPr>
        <w:spacing w:after="0" w:line="108"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3E474E"/>
        </w:rPr>
        <w:t>In connection with our succession planning efforts and in consideration of the strategic actions being taken to reposition the Company, the Compensation Committee determined that a special performance-based equity award program would be appropriate to recognize the Company’s strategic growth plan under the new leadership team and to incentivize the achievement of long-term growth goals, including stockholder value creation that is not fully captured under the annual LTIP program. In its consideration of the program design, the Compensation Committee intended for the program to award significant performance achievements while also ensuring that the program was aligned with best governance practices, as follows:</w:t>
      </w:r>
    </w:p>
    <w:p>
      <w:pPr>
        <w:spacing w:after="0" w:line="238"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22"/>
          <w:szCs w:val="22"/>
          <w:b w:val="1"/>
          <w:bCs w:val="1"/>
          <w:color w:val="3E474E"/>
        </w:rPr>
      </w:pPr>
      <w:r>
        <w:rPr>
          <w:rFonts w:ascii="Arial" w:cs="Arial" w:eastAsia="Arial" w:hAnsi="Arial"/>
          <w:sz w:val="16"/>
          <w:szCs w:val="16"/>
          <w:b w:val="1"/>
          <w:bCs w:val="1"/>
          <w:color w:val="3E474E"/>
        </w:rPr>
        <w:t xml:space="preserve">100% Performance-Based. </w:t>
      </w:r>
      <w:r>
        <w:rPr>
          <w:rFonts w:ascii="Arial" w:cs="Arial" w:eastAsia="Arial" w:hAnsi="Arial"/>
          <w:sz w:val="16"/>
          <w:szCs w:val="16"/>
          <w:color w:val="3E474E"/>
        </w:rPr>
        <w:t>Only provides value to the extent meaningful stockholder value is created above specified metrics.</w:t>
      </w:r>
    </w:p>
    <w:p>
      <w:pPr>
        <w:spacing w:after="0" w:line="101" w:lineRule="exact"/>
        <w:rPr>
          <w:rFonts w:ascii="Arial" w:cs="Arial" w:eastAsia="Arial" w:hAnsi="Arial"/>
          <w:sz w:val="22"/>
          <w:szCs w:val="22"/>
          <w:b w:val="1"/>
          <w:bCs w:val="1"/>
          <w:color w:val="3E474E"/>
        </w:rPr>
      </w:pPr>
    </w:p>
    <w:p>
      <w:pPr>
        <w:ind w:left="660" w:right="740" w:hanging="328"/>
        <w:spacing w:after="0" w:line="229" w:lineRule="auto"/>
        <w:tabs>
          <w:tab w:leader="none" w:pos="655" w:val="left"/>
        </w:tabs>
        <w:numPr>
          <w:ilvl w:val="0"/>
          <w:numId w:val="77"/>
        </w:numPr>
        <w:rPr>
          <w:rFonts w:ascii="Times New Roman" w:cs="Times New Roman" w:eastAsia="Times New Roman" w:hAnsi="Times New Roman"/>
          <w:sz w:val="22"/>
          <w:szCs w:val="22"/>
          <w:b w:val="1"/>
          <w:bCs w:val="1"/>
          <w:color w:val="3E474E"/>
        </w:rPr>
      </w:pPr>
      <w:r>
        <w:rPr>
          <w:rFonts w:ascii="Arial" w:cs="Arial" w:eastAsia="Arial" w:hAnsi="Arial"/>
          <w:sz w:val="16"/>
          <w:szCs w:val="16"/>
          <w:b w:val="1"/>
          <w:bCs w:val="1"/>
          <w:color w:val="3E474E"/>
        </w:rPr>
        <w:t xml:space="preserve">Long-Term Performance. </w:t>
      </w:r>
      <w:r>
        <w:rPr>
          <w:rFonts w:ascii="Arial" w:cs="Arial" w:eastAsia="Arial" w:hAnsi="Arial"/>
          <w:sz w:val="16"/>
          <w:szCs w:val="16"/>
          <w:color w:val="3E474E"/>
        </w:rPr>
        <w:t>Performance is assessed in the final year of a five-year performance period (i.e., no interim payouts during the</w:t>
      </w:r>
      <w:r>
        <w:rPr>
          <w:rFonts w:ascii="Arial" w:cs="Arial" w:eastAsia="Arial" w:hAnsi="Arial"/>
          <w:sz w:val="16"/>
          <w:szCs w:val="16"/>
          <w:b w:val="1"/>
          <w:bCs w:val="1"/>
          <w:color w:val="3E474E"/>
        </w:rPr>
        <w:t xml:space="preserve"> </w:t>
      </w:r>
      <w:r>
        <w:rPr>
          <w:rFonts w:ascii="Arial" w:cs="Arial" w:eastAsia="Arial" w:hAnsi="Arial"/>
          <w:sz w:val="16"/>
          <w:szCs w:val="16"/>
          <w:color w:val="3E474E"/>
        </w:rPr>
        <w:t>performance period), as compared to the three-year performance period under our annual grant structure.</w:t>
      </w:r>
    </w:p>
    <w:p>
      <w:pPr>
        <w:spacing w:after="0" w:line="69" w:lineRule="exact"/>
        <w:rPr>
          <w:rFonts w:ascii="Times New Roman" w:cs="Times New Roman" w:eastAsia="Times New Roman" w:hAnsi="Times New Roman"/>
          <w:sz w:val="22"/>
          <w:szCs w:val="22"/>
          <w:b w:val="1"/>
          <w:bCs w:val="1"/>
          <w:color w:val="3E474E"/>
        </w:rPr>
      </w:pPr>
    </w:p>
    <w:p>
      <w:pPr>
        <w:ind w:left="660" w:right="140" w:hanging="328"/>
        <w:spacing w:after="0" w:line="193" w:lineRule="exact"/>
        <w:tabs>
          <w:tab w:leader="none" w:pos="601" w:val="left"/>
        </w:tabs>
        <w:numPr>
          <w:ilvl w:val="0"/>
          <w:numId w:val="77"/>
        </w:numPr>
        <w:rPr>
          <w:rFonts w:ascii="Arial" w:cs="Arial" w:eastAsia="Arial" w:hAnsi="Arial"/>
          <w:sz w:val="22"/>
          <w:szCs w:val="22"/>
          <w:color w:val="3E474E"/>
        </w:rPr>
      </w:pPr>
      <w:r>
        <w:rPr>
          <w:rFonts w:ascii="Arial" w:cs="Arial" w:eastAsia="Arial" w:hAnsi="Arial"/>
          <w:sz w:val="16"/>
          <w:szCs w:val="16"/>
          <w:b w:val="1"/>
          <w:bCs w:val="1"/>
          <w:color w:val="3E474E"/>
        </w:rPr>
        <w:t xml:space="preserve">Rigorous Performance Metrics. </w:t>
      </w:r>
      <w:r>
        <w:rPr>
          <w:rFonts w:ascii="Arial" w:cs="Arial" w:eastAsia="Arial" w:hAnsi="Arial"/>
          <w:sz w:val="16"/>
          <w:szCs w:val="16"/>
          <w:color w:val="3E474E"/>
        </w:rPr>
        <w:t>In order to earn the maximum award, the Company must have achieved over the performance period both</w:t>
      </w:r>
      <w:r>
        <w:rPr>
          <w:rFonts w:ascii="Arial" w:cs="Arial" w:eastAsia="Arial" w:hAnsi="Arial"/>
          <w:sz w:val="16"/>
          <w:szCs w:val="16"/>
          <w:b w:val="1"/>
          <w:bCs w:val="1"/>
          <w:color w:val="3E474E"/>
        </w:rPr>
        <w:t xml:space="preserve"> </w:t>
      </w:r>
      <w:r>
        <w:rPr>
          <w:rFonts w:ascii="Arial" w:cs="Arial" w:eastAsia="Arial" w:hAnsi="Arial"/>
          <w:sz w:val="16"/>
          <w:szCs w:val="16"/>
          <w:color w:val="3E474E"/>
        </w:rPr>
        <w:t>absolute TSR growth of 100% and total enterprise value growth to $4.0 billion, nearly doubling our size and generating approximately $600 million in stockholder value. While these hurdles were intentionally rigorous at the time they were established, the planned sale of non</w:t>
      </w:r>
      <w:r>
        <w:rPr>
          <w:rFonts w:ascii="MS PGothic" w:cs="MS PGothic" w:eastAsia="MS PGothic" w:hAnsi="MS PGothic"/>
          <w:sz w:val="16"/>
          <w:szCs w:val="16"/>
          <w:color w:val="3E474E"/>
        </w:rPr>
        <w:t>‑</w:t>
      </w:r>
      <w:r>
        <w:rPr>
          <w:rFonts w:ascii="Arial" w:cs="Arial" w:eastAsia="Arial" w:hAnsi="Arial"/>
          <w:sz w:val="16"/>
          <w:szCs w:val="16"/>
          <w:color w:val="3E474E"/>
        </w:rPr>
        <w:t>core businesses pursuant to the Company’s strategic reset makes achievement of these goals even more challenging.</w:t>
      </w:r>
    </w:p>
    <w:p>
      <w:pPr>
        <w:spacing w:after="0" w:line="28" w:lineRule="exact"/>
        <w:rPr>
          <w:rFonts w:ascii="Arial" w:cs="Arial" w:eastAsia="Arial" w:hAnsi="Arial"/>
          <w:sz w:val="22"/>
          <w:szCs w:val="22"/>
          <w:color w:val="3E474E"/>
        </w:rPr>
      </w:pPr>
    </w:p>
    <w:p>
      <w:pPr>
        <w:ind w:left="660" w:right="200" w:hanging="328"/>
        <w:spacing w:after="0" w:line="239" w:lineRule="auto"/>
        <w:tabs>
          <w:tab w:leader="none" w:pos="655" w:val="left"/>
        </w:tabs>
        <w:numPr>
          <w:ilvl w:val="0"/>
          <w:numId w:val="77"/>
        </w:numPr>
        <w:rPr>
          <w:rFonts w:ascii="Times New Roman" w:cs="Times New Roman" w:eastAsia="Times New Roman" w:hAnsi="Times New Roman"/>
          <w:sz w:val="22"/>
          <w:szCs w:val="22"/>
          <w:b w:val="1"/>
          <w:bCs w:val="1"/>
          <w:color w:val="3E474E"/>
        </w:rPr>
      </w:pPr>
      <w:r>
        <w:rPr>
          <w:rFonts w:ascii="Arial" w:cs="Arial" w:eastAsia="Arial" w:hAnsi="Arial"/>
          <w:sz w:val="16"/>
          <w:szCs w:val="16"/>
          <w:b w:val="1"/>
          <w:bCs w:val="1"/>
          <w:color w:val="3E474E"/>
        </w:rPr>
        <w:t xml:space="preserve">Total Pool. </w:t>
      </w:r>
      <w:r>
        <w:rPr>
          <w:rFonts w:ascii="Arial" w:cs="Arial" w:eastAsia="Arial" w:hAnsi="Arial"/>
          <w:sz w:val="16"/>
          <w:szCs w:val="16"/>
          <w:color w:val="3E474E"/>
        </w:rPr>
        <w:t>The program design was constructed such that at the end of the performance period an overall share pool would be equal to $15.0M,</w:t>
      </w:r>
      <w:r>
        <w:rPr>
          <w:rFonts w:ascii="Arial" w:cs="Arial" w:eastAsia="Arial" w:hAnsi="Arial"/>
          <w:sz w:val="16"/>
          <w:szCs w:val="16"/>
          <w:b w:val="1"/>
          <w:bCs w:val="1"/>
          <w:color w:val="3E474E"/>
        </w:rPr>
        <w:t xml:space="preserve"> </w:t>
      </w:r>
      <w:r>
        <w:rPr>
          <w:rFonts w:ascii="Arial" w:cs="Arial" w:eastAsia="Arial" w:hAnsi="Arial"/>
          <w:sz w:val="16"/>
          <w:szCs w:val="16"/>
          <w:color w:val="3E474E"/>
        </w:rPr>
        <w:t>which would represent approximately 2.4% of stockholder value. The number of units granted will be determined by dividing the $15.0M by the stock price at grant date required to achieve 100% total shareholder return, assuming a consistent dividend over the performance period.</w:t>
      </w:r>
    </w:p>
    <w:p>
      <w:pPr>
        <w:spacing w:after="0" w:line="273"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3E474E"/>
        </w:rPr>
        <w:t>The awards granted to our NEOs under the 2025 Special LTIP Program are set forth in the table below, which reflects the potential value at maximum and the grant date value in accordance with ASC Topic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46</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747C83"/>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00" w:type="dxa"/>
            <w:vAlign w:val="bottom"/>
            <w:shd w:val="clear" w:color="auto" w:fill="E3EAEE"/>
          </w:tcPr>
          <w:p>
            <w:pPr>
              <w:ind w:left="140"/>
              <w:spacing w:after="0"/>
              <w:rPr>
                <w:sz w:val="20"/>
                <w:szCs w:val="20"/>
                <w:color w:val="auto"/>
              </w:rPr>
            </w:pPr>
            <w:r>
              <w:rPr>
                <w:rFonts w:ascii="Arial" w:cs="Arial" w:eastAsia="Arial" w:hAnsi="Arial"/>
                <w:sz w:val="16"/>
                <w:szCs w:val="16"/>
                <w:b w:val="1"/>
                <w:bCs w:val="1"/>
                <w:color w:val="1478A3"/>
              </w:rPr>
              <w:t>Name</w:t>
            </w:r>
          </w:p>
        </w:tc>
        <w:tc>
          <w:tcPr>
            <w:tcW w:w="3280" w:type="dxa"/>
            <w:vAlign w:val="bottom"/>
            <w:shd w:val="clear" w:color="auto" w:fill="E3EAEE"/>
          </w:tcPr>
          <w:p>
            <w:pPr>
              <w:jc w:val="right"/>
              <w:ind w:right="339"/>
              <w:spacing w:after="0"/>
              <w:rPr>
                <w:sz w:val="20"/>
                <w:szCs w:val="20"/>
                <w:color w:val="auto"/>
              </w:rPr>
            </w:pPr>
            <w:r>
              <w:rPr>
                <w:rFonts w:ascii="Arial" w:cs="Arial" w:eastAsia="Arial" w:hAnsi="Arial"/>
                <w:sz w:val="16"/>
                <w:szCs w:val="16"/>
                <w:b w:val="1"/>
                <w:bCs w:val="1"/>
                <w:color w:val="1478A3"/>
              </w:rPr>
              <w:t>2025 Special Award Allocation %</w:t>
            </w:r>
          </w:p>
        </w:tc>
        <w:tc>
          <w:tcPr>
            <w:tcW w:w="234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2025 Special Award LTIP</w:t>
            </w:r>
          </w:p>
        </w:tc>
      </w:tr>
      <w:tr>
        <w:trPr>
          <w:trHeight w:val="223"/>
        </w:trPr>
        <w:tc>
          <w:tcPr>
            <w:tcW w:w="5400" w:type="dxa"/>
            <w:vAlign w:val="bottom"/>
            <w:shd w:val="clear" w:color="auto" w:fill="E3EAEE"/>
          </w:tcPr>
          <w:p>
            <w:pPr>
              <w:spacing w:after="0"/>
              <w:rPr>
                <w:sz w:val="19"/>
                <w:szCs w:val="19"/>
                <w:color w:val="auto"/>
              </w:rPr>
            </w:pPr>
          </w:p>
        </w:tc>
        <w:tc>
          <w:tcPr>
            <w:tcW w:w="3280" w:type="dxa"/>
            <w:vAlign w:val="bottom"/>
            <w:shd w:val="clear" w:color="auto" w:fill="E3EAEE"/>
          </w:tcPr>
          <w:p>
            <w:pPr>
              <w:spacing w:after="0"/>
              <w:rPr>
                <w:sz w:val="19"/>
                <w:szCs w:val="19"/>
                <w:color w:val="auto"/>
              </w:rPr>
            </w:pPr>
          </w:p>
        </w:tc>
        <w:tc>
          <w:tcPr>
            <w:tcW w:w="234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Awards ($)</w:t>
            </w:r>
          </w:p>
        </w:tc>
      </w:tr>
      <w:tr>
        <w:trPr>
          <w:trHeight w:val="75"/>
        </w:trPr>
        <w:tc>
          <w:tcPr>
            <w:tcW w:w="5400" w:type="dxa"/>
            <w:vAlign w:val="bottom"/>
            <w:tcBorders>
              <w:bottom w:val="single" w:sz="8" w:color="007AA7"/>
            </w:tcBorders>
            <w:shd w:val="clear" w:color="auto" w:fill="E3EAEE"/>
          </w:tcPr>
          <w:p>
            <w:pPr>
              <w:spacing w:after="0"/>
              <w:rPr>
                <w:sz w:val="6"/>
                <w:szCs w:val="6"/>
                <w:color w:val="auto"/>
              </w:rPr>
            </w:pPr>
          </w:p>
        </w:tc>
        <w:tc>
          <w:tcPr>
            <w:tcW w:w="3280" w:type="dxa"/>
            <w:vAlign w:val="bottom"/>
            <w:tcBorders>
              <w:bottom w:val="single" w:sz="8" w:color="007AA7"/>
            </w:tcBorders>
            <w:shd w:val="clear" w:color="auto" w:fill="E3EAEE"/>
          </w:tcPr>
          <w:p>
            <w:pPr>
              <w:spacing w:after="0"/>
              <w:rPr>
                <w:sz w:val="6"/>
                <w:szCs w:val="6"/>
                <w:color w:val="auto"/>
              </w:rPr>
            </w:pPr>
          </w:p>
        </w:tc>
        <w:tc>
          <w:tcPr>
            <w:tcW w:w="2340" w:type="dxa"/>
            <w:vAlign w:val="bottom"/>
            <w:tcBorders>
              <w:bottom w:val="single" w:sz="8" w:color="007AA7"/>
            </w:tcBorders>
            <w:shd w:val="clear" w:color="auto" w:fill="E3EAEE"/>
          </w:tcPr>
          <w:p>
            <w:pPr>
              <w:spacing w:after="0"/>
              <w:rPr>
                <w:sz w:val="6"/>
                <w:szCs w:val="6"/>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6"/>
                <w:szCs w:val="16"/>
                <w:color w:val="3E474E"/>
              </w:rPr>
              <w:t>Shawn J. Tibbetts</w:t>
            </w:r>
          </w:p>
        </w:tc>
        <w:tc>
          <w:tcPr>
            <w:tcW w:w="3280" w:type="dxa"/>
            <w:vAlign w:val="bottom"/>
          </w:tcPr>
          <w:p>
            <w:pPr>
              <w:jc w:val="right"/>
              <w:ind w:right="339"/>
              <w:spacing w:after="0"/>
              <w:rPr>
                <w:sz w:val="20"/>
                <w:szCs w:val="20"/>
                <w:color w:val="auto"/>
              </w:rPr>
            </w:pPr>
            <w:r>
              <w:rPr>
                <w:rFonts w:ascii="Arial" w:cs="Arial" w:eastAsia="Arial" w:hAnsi="Arial"/>
                <w:sz w:val="16"/>
                <w:szCs w:val="16"/>
                <w:color w:val="3E474E"/>
              </w:rPr>
              <w:t>50 %</w:t>
            </w:r>
          </w:p>
        </w:tc>
        <w:tc>
          <w:tcPr>
            <w:tcW w:w="2340" w:type="dxa"/>
            <w:vAlign w:val="bottom"/>
          </w:tcPr>
          <w:p>
            <w:pPr>
              <w:jc w:val="right"/>
              <w:spacing w:after="0"/>
              <w:rPr>
                <w:sz w:val="20"/>
                <w:szCs w:val="20"/>
                <w:color w:val="auto"/>
              </w:rPr>
            </w:pPr>
            <w:r>
              <w:rPr>
                <w:rFonts w:ascii="Arial" w:cs="Arial" w:eastAsia="Arial" w:hAnsi="Arial"/>
                <w:sz w:val="16"/>
                <w:szCs w:val="16"/>
                <w:color w:val="3E474E"/>
              </w:rPr>
              <w:t>$7,500,000</w:t>
            </w:r>
          </w:p>
        </w:tc>
      </w:tr>
      <w:tr>
        <w:trPr>
          <w:trHeight w:val="251"/>
        </w:trPr>
        <w:tc>
          <w:tcPr>
            <w:tcW w:w="540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Matthew T. Barnes-Smith</w:t>
            </w:r>
          </w:p>
        </w:tc>
        <w:tc>
          <w:tcPr>
            <w:tcW w:w="3280" w:type="dxa"/>
            <w:vAlign w:val="bottom"/>
            <w:shd w:val="clear" w:color="auto" w:fill="E3EAEE"/>
          </w:tcPr>
          <w:p>
            <w:pPr>
              <w:jc w:val="right"/>
              <w:ind w:right="339"/>
              <w:spacing w:after="0"/>
              <w:rPr>
                <w:sz w:val="20"/>
                <w:szCs w:val="20"/>
                <w:color w:val="auto"/>
              </w:rPr>
            </w:pPr>
            <w:r>
              <w:rPr>
                <w:rFonts w:ascii="Arial" w:cs="Arial" w:eastAsia="Arial" w:hAnsi="Arial"/>
                <w:sz w:val="16"/>
                <w:szCs w:val="16"/>
                <w:color w:val="3E474E"/>
              </w:rPr>
              <w:t>20 %</w:t>
            </w:r>
          </w:p>
        </w:tc>
        <w:tc>
          <w:tcPr>
            <w:tcW w:w="234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$3,000,000</w:t>
            </w:r>
          </w:p>
        </w:tc>
      </w:tr>
      <w:tr>
        <w:trPr>
          <w:trHeight w:val="237"/>
        </w:trPr>
        <w:tc>
          <w:tcPr>
            <w:tcW w:w="5400" w:type="dxa"/>
            <w:vAlign w:val="bottom"/>
            <w:tcBorders>
              <w:bottom w:val="single" w:sz="8" w:color="007AA7"/>
            </w:tcBorders>
          </w:tcPr>
          <w:p>
            <w:pPr>
              <w:ind w:left="140"/>
              <w:spacing w:after="0"/>
              <w:rPr>
                <w:sz w:val="20"/>
                <w:szCs w:val="20"/>
                <w:color w:val="auto"/>
              </w:rPr>
            </w:pPr>
            <w:r>
              <w:rPr>
                <w:rFonts w:ascii="Arial" w:cs="Arial" w:eastAsia="Arial" w:hAnsi="Arial"/>
                <w:sz w:val="16"/>
                <w:szCs w:val="16"/>
                <w:color w:val="3E474E"/>
              </w:rPr>
              <w:t>Other Executives</w:t>
            </w:r>
          </w:p>
        </w:tc>
        <w:tc>
          <w:tcPr>
            <w:tcW w:w="3280" w:type="dxa"/>
            <w:vAlign w:val="bottom"/>
            <w:tcBorders>
              <w:bottom w:val="single" w:sz="8" w:color="1478A3"/>
            </w:tcBorders>
          </w:tcPr>
          <w:p>
            <w:pPr>
              <w:jc w:val="right"/>
              <w:ind w:right="339"/>
              <w:spacing w:after="0"/>
              <w:rPr>
                <w:sz w:val="20"/>
                <w:szCs w:val="20"/>
                <w:color w:val="auto"/>
              </w:rPr>
            </w:pPr>
            <w:r>
              <w:rPr>
                <w:rFonts w:ascii="Arial" w:cs="Arial" w:eastAsia="Arial" w:hAnsi="Arial"/>
                <w:sz w:val="16"/>
                <w:szCs w:val="16"/>
                <w:color w:val="3E474E"/>
              </w:rPr>
              <w:t>30 %</w:t>
            </w:r>
          </w:p>
        </w:tc>
        <w:tc>
          <w:tcPr>
            <w:tcW w:w="2340" w:type="dxa"/>
            <w:vAlign w:val="bottom"/>
            <w:tcBorders>
              <w:bottom w:val="single" w:sz="8" w:color="1478A3"/>
            </w:tcBorders>
          </w:tcPr>
          <w:p>
            <w:pPr>
              <w:jc w:val="right"/>
              <w:spacing w:after="0"/>
              <w:rPr>
                <w:sz w:val="20"/>
                <w:szCs w:val="20"/>
                <w:color w:val="auto"/>
              </w:rPr>
            </w:pPr>
            <w:r>
              <w:rPr>
                <w:rFonts w:ascii="Arial" w:cs="Arial" w:eastAsia="Arial" w:hAnsi="Arial"/>
                <w:sz w:val="16"/>
                <w:szCs w:val="16"/>
                <w:color w:val="3E474E"/>
              </w:rPr>
              <w:t>$4,500,000</w:t>
            </w:r>
          </w:p>
        </w:tc>
      </w:tr>
      <w:tr>
        <w:trPr>
          <w:trHeight w:val="237"/>
        </w:trPr>
        <w:tc>
          <w:tcPr>
            <w:tcW w:w="5400" w:type="dxa"/>
            <w:vAlign w:val="bottom"/>
          </w:tcPr>
          <w:p>
            <w:pPr>
              <w:spacing w:after="0"/>
              <w:rPr>
                <w:sz w:val="20"/>
                <w:szCs w:val="20"/>
                <w:color w:val="auto"/>
              </w:rPr>
            </w:pPr>
          </w:p>
        </w:tc>
        <w:tc>
          <w:tcPr>
            <w:tcW w:w="3280" w:type="dxa"/>
            <w:vAlign w:val="bottom"/>
            <w:tcBorders>
              <w:bottom w:val="single" w:sz="8" w:color="1478A3"/>
            </w:tcBorders>
          </w:tcPr>
          <w:p>
            <w:pPr>
              <w:jc w:val="right"/>
              <w:ind w:right="339"/>
              <w:spacing w:after="0"/>
              <w:rPr>
                <w:sz w:val="20"/>
                <w:szCs w:val="20"/>
                <w:color w:val="auto"/>
              </w:rPr>
            </w:pPr>
            <w:r>
              <w:rPr>
                <w:rFonts w:ascii="Arial" w:cs="Arial" w:eastAsia="Arial" w:hAnsi="Arial"/>
                <w:sz w:val="16"/>
                <w:szCs w:val="16"/>
                <w:color w:val="3E474E"/>
              </w:rPr>
              <w:t>100 %</w:t>
            </w:r>
          </w:p>
        </w:tc>
        <w:tc>
          <w:tcPr>
            <w:tcW w:w="2340" w:type="dxa"/>
            <w:vAlign w:val="bottom"/>
            <w:tcBorders>
              <w:bottom w:val="single" w:sz="8" w:color="1478A3"/>
            </w:tcBorders>
          </w:tcPr>
          <w:p>
            <w:pPr>
              <w:jc w:val="right"/>
              <w:spacing w:after="0"/>
              <w:rPr>
                <w:sz w:val="20"/>
                <w:szCs w:val="20"/>
                <w:color w:val="auto"/>
              </w:rPr>
            </w:pPr>
            <w:r>
              <w:rPr>
                <w:rFonts w:ascii="Arial" w:cs="Arial" w:eastAsia="Arial" w:hAnsi="Arial"/>
                <w:sz w:val="16"/>
                <w:szCs w:val="16"/>
                <w:color w:val="3E474E"/>
              </w:rPr>
              <w:t>$15,000,000</w:t>
            </w:r>
          </w:p>
        </w:tc>
      </w:tr>
      <w:tr>
        <w:trPr>
          <w:trHeight w:val="27"/>
        </w:trPr>
        <w:tc>
          <w:tcPr>
            <w:tcW w:w="5400" w:type="dxa"/>
            <w:vAlign w:val="bottom"/>
          </w:tcPr>
          <w:p>
            <w:pPr>
              <w:spacing w:after="0"/>
              <w:rPr>
                <w:sz w:val="2"/>
                <w:szCs w:val="2"/>
                <w:color w:val="auto"/>
              </w:rPr>
            </w:pPr>
          </w:p>
        </w:tc>
        <w:tc>
          <w:tcPr>
            <w:tcW w:w="3280" w:type="dxa"/>
            <w:vAlign w:val="bottom"/>
            <w:tcBorders>
              <w:bottom w:val="single" w:sz="8" w:color="1478A3"/>
            </w:tcBorders>
          </w:tcPr>
          <w:p>
            <w:pPr>
              <w:spacing w:after="0"/>
              <w:rPr>
                <w:sz w:val="2"/>
                <w:szCs w:val="2"/>
                <w:color w:val="auto"/>
              </w:rPr>
            </w:pPr>
          </w:p>
        </w:tc>
        <w:tc>
          <w:tcPr>
            <w:tcW w:w="2340" w:type="dxa"/>
            <w:vAlign w:val="bottom"/>
            <w:tcBorders>
              <w:bottom w:val="single" w:sz="8" w:color="1478A3"/>
            </w:tcBorders>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3E474E"/>
        </w:rPr>
        <w:t>The following reflects the performance metrics and related payouts under the program:</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180" w:type="dxa"/>
            <w:vAlign w:val="bottom"/>
            <w:tcBorders>
              <w:top w:val="single" w:sz="8" w:color="B6B6B6"/>
              <w:left w:val="single" w:sz="8" w:color="B6B6B6"/>
              <w:bottom w:val="single" w:sz="8" w:color="E3EAEE"/>
              <w:right w:val="single" w:sz="8" w:color="B6B6B6"/>
            </w:tcBorders>
            <w:shd w:val="clear" w:color="auto" w:fill="E3EAEE"/>
          </w:tcPr>
          <w:p>
            <w:pPr>
              <w:spacing w:after="0"/>
              <w:rPr>
                <w:sz w:val="21"/>
                <w:szCs w:val="21"/>
                <w:color w:val="auto"/>
              </w:rPr>
            </w:pPr>
          </w:p>
        </w:tc>
        <w:tc>
          <w:tcPr>
            <w:tcW w:w="1380" w:type="dxa"/>
            <w:vAlign w:val="bottom"/>
            <w:tcBorders>
              <w:top w:val="single" w:sz="8" w:color="B6B6B6"/>
              <w:bottom w:val="single" w:sz="8" w:color="B6B6B6"/>
              <w:right w:val="single" w:sz="8" w:color="B6B6B6"/>
            </w:tcBorders>
            <w:shd w:val="clear" w:color="auto" w:fill="E3EAEE"/>
          </w:tcPr>
          <w:p>
            <w:pPr>
              <w:spacing w:after="0"/>
              <w:rPr>
                <w:sz w:val="21"/>
                <w:szCs w:val="21"/>
                <w:color w:val="auto"/>
              </w:rPr>
            </w:pPr>
          </w:p>
        </w:tc>
        <w:tc>
          <w:tcPr>
            <w:tcW w:w="1400" w:type="dxa"/>
            <w:vAlign w:val="bottom"/>
            <w:tcBorders>
              <w:top w:val="single" w:sz="8" w:color="B6B6B6"/>
              <w:bottom w:val="single" w:sz="8" w:color="B6B6B6"/>
              <w:right w:val="single" w:sz="8" w:color="E3EAEE"/>
            </w:tcBorders>
            <w:shd w:val="clear" w:color="auto" w:fill="E3EAEE"/>
          </w:tcPr>
          <w:p>
            <w:pPr>
              <w:spacing w:after="0"/>
              <w:rPr>
                <w:sz w:val="21"/>
                <w:szCs w:val="21"/>
                <w:color w:val="auto"/>
              </w:rPr>
            </w:pPr>
          </w:p>
        </w:tc>
        <w:tc>
          <w:tcPr>
            <w:tcW w:w="4260" w:type="dxa"/>
            <w:vAlign w:val="bottom"/>
            <w:tcBorders>
              <w:top w:val="single" w:sz="8" w:color="B6B6B6"/>
              <w:bottom w:val="single" w:sz="8" w:color="B6B6B6"/>
              <w:right w:val="single" w:sz="8" w:color="E3EAEE"/>
            </w:tcBorders>
            <w:gridSpan w:val="3"/>
            <w:shd w:val="clear" w:color="auto" w:fill="E3EAEE"/>
          </w:tcPr>
          <w:p>
            <w:pPr>
              <w:jc w:val="right"/>
              <w:ind w:right="559"/>
              <w:spacing w:after="0"/>
              <w:rPr>
                <w:sz w:val="20"/>
                <w:szCs w:val="20"/>
                <w:color w:val="auto"/>
              </w:rPr>
            </w:pPr>
            <w:r>
              <w:rPr>
                <w:rFonts w:ascii="Arial" w:cs="Arial" w:eastAsia="Arial" w:hAnsi="Arial"/>
                <w:sz w:val="16"/>
                <w:szCs w:val="16"/>
                <w:b w:val="1"/>
                <w:bCs w:val="1"/>
                <w:color w:val="1478A3"/>
              </w:rPr>
              <w:t>Cumulative Total Stockholder Return</w:t>
            </w:r>
          </w:p>
        </w:tc>
        <w:tc>
          <w:tcPr>
            <w:tcW w:w="1440" w:type="dxa"/>
            <w:vAlign w:val="bottom"/>
            <w:tcBorders>
              <w:top w:val="single" w:sz="8" w:color="B6B6B6"/>
              <w:bottom w:val="single" w:sz="8" w:color="B6B6B6"/>
              <w:right w:val="single" w:sz="8" w:color="B6B6B6"/>
            </w:tcBorders>
            <w:shd w:val="clear" w:color="auto" w:fill="E3EAEE"/>
          </w:tcPr>
          <w:p>
            <w:pPr>
              <w:spacing w:after="0"/>
              <w:rPr>
                <w:sz w:val="21"/>
                <w:szCs w:val="21"/>
                <w:color w:val="auto"/>
              </w:rPr>
            </w:pPr>
          </w:p>
        </w:tc>
      </w:tr>
      <w:tr>
        <w:trPr>
          <w:trHeight w:val="237"/>
        </w:trPr>
        <w:tc>
          <w:tcPr>
            <w:tcW w:w="1180" w:type="dxa"/>
            <w:vAlign w:val="bottom"/>
            <w:tcBorders>
              <w:left w:val="single" w:sz="8" w:color="B6B6B6"/>
              <w:bottom w:val="single" w:sz="8" w:color="E3EAEE"/>
              <w:right w:val="single" w:sz="8" w:color="B6B6B6"/>
            </w:tcBorders>
            <w:shd w:val="clear" w:color="auto" w:fill="E3EAEE"/>
          </w:tcPr>
          <w:p>
            <w:pPr>
              <w:spacing w:after="0"/>
              <w:rPr>
                <w:sz w:val="20"/>
                <w:szCs w:val="20"/>
                <w:color w:val="auto"/>
              </w:rPr>
            </w:pPr>
          </w:p>
        </w:tc>
        <w:tc>
          <w:tcPr>
            <w:tcW w:w="1380" w:type="dxa"/>
            <w:vAlign w:val="bottom"/>
            <w:tcBorders>
              <w:bottom w:val="single" w:sz="8" w:color="B6B6B6"/>
              <w:right w:val="single" w:sz="8" w:color="B6B6B6"/>
            </w:tcBorders>
            <w:shd w:val="clear" w:color="auto" w:fill="E3EAEE"/>
          </w:tcPr>
          <w:p>
            <w:pPr>
              <w:spacing w:after="0"/>
              <w:rPr>
                <w:sz w:val="20"/>
                <w:szCs w:val="20"/>
                <w:color w:val="auto"/>
              </w:rPr>
            </w:pPr>
          </w:p>
        </w:tc>
        <w:tc>
          <w:tcPr>
            <w:tcW w:w="1400" w:type="dxa"/>
            <w:vAlign w:val="bottom"/>
            <w:tcBorders>
              <w:bottom w:val="single" w:sz="8" w:color="B6B6B6"/>
              <w:right w:val="single" w:sz="8" w:color="B6B6B6"/>
            </w:tcBorders>
            <w:shd w:val="clear" w:color="auto" w:fill="E3EAEE"/>
          </w:tcPr>
          <w:p>
            <w:pPr>
              <w:jc w:val="right"/>
              <w:ind w:right="399"/>
              <w:spacing w:after="0"/>
              <w:rPr>
                <w:sz w:val="20"/>
                <w:szCs w:val="20"/>
                <w:color w:val="auto"/>
              </w:rPr>
            </w:pPr>
            <w:r>
              <w:rPr>
                <w:rFonts w:ascii="Arial" w:cs="Arial" w:eastAsia="Arial" w:hAnsi="Arial"/>
                <w:sz w:val="16"/>
                <w:szCs w:val="16"/>
                <w:b w:val="1"/>
                <w:bCs w:val="1"/>
                <w:color w:val="1478A3"/>
              </w:rPr>
              <w:t>40%</w:t>
            </w:r>
          </w:p>
        </w:tc>
        <w:tc>
          <w:tcPr>
            <w:tcW w:w="1420" w:type="dxa"/>
            <w:vAlign w:val="bottom"/>
            <w:tcBorders>
              <w:bottom w:val="single" w:sz="8" w:color="B6B6B6"/>
              <w:right w:val="single" w:sz="8" w:color="B6B6B6"/>
            </w:tcBorders>
            <w:shd w:val="clear" w:color="auto" w:fill="E3EAEE"/>
          </w:tcPr>
          <w:p>
            <w:pPr>
              <w:jc w:val="right"/>
              <w:ind w:right="419"/>
              <w:spacing w:after="0"/>
              <w:rPr>
                <w:sz w:val="20"/>
                <w:szCs w:val="20"/>
                <w:color w:val="auto"/>
              </w:rPr>
            </w:pPr>
            <w:r>
              <w:rPr>
                <w:rFonts w:ascii="Arial" w:cs="Arial" w:eastAsia="Arial" w:hAnsi="Arial"/>
                <w:sz w:val="16"/>
                <w:szCs w:val="16"/>
                <w:b w:val="1"/>
                <w:bCs w:val="1"/>
                <w:color w:val="1478A3"/>
              </w:rPr>
              <w:t>55%</w:t>
            </w:r>
          </w:p>
        </w:tc>
        <w:tc>
          <w:tcPr>
            <w:tcW w:w="1420" w:type="dxa"/>
            <w:vAlign w:val="bottom"/>
            <w:tcBorders>
              <w:bottom w:val="single" w:sz="8" w:color="B6B6B6"/>
              <w:right w:val="single" w:sz="8" w:color="B6B6B6"/>
            </w:tcBorders>
            <w:shd w:val="clear" w:color="auto" w:fill="E3EAEE"/>
          </w:tcPr>
          <w:p>
            <w:pPr>
              <w:jc w:val="right"/>
              <w:ind w:right="419"/>
              <w:spacing w:after="0"/>
              <w:rPr>
                <w:sz w:val="20"/>
                <w:szCs w:val="20"/>
                <w:color w:val="auto"/>
              </w:rPr>
            </w:pPr>
            <w:r>
              <w:rPr>
                <w:rFonts w:ascii="Arial" w:cs="Arial" w:eastAsia="Arial" w:hAnsi="Arial"/>
                <w:sz w:val="16"/>
                <w:szCs w:val="16"/>
                <w:b w:val="1"/>
                <w:bCs w:val="1"/>
                <w:color w:val="1478A3"/>
              </w:rPr>
              <w:t>70%</w:t>
            </w:r>
          </w:p>
        </w:tc>
        <w:tc>
          <w:tcPr>
            <w:tcW w:w="1420" w:type="dxa"/>
            <w:vAlign w:val="bottom"/>
            <w:tcBorders>
              <w:bottom w:val="single" w:sz="8" w:color="B6B6B6"/>
              <w:right w:val="single" w:sz="8" w:color="B6B6B6"/>
            </w:tcBorders>
            <w:shd w:val="clear" w:color="auto" w:fill="E3EAEE"/>
          </w:tcPr>
          <w:p>
            <w:pPr>
              <w:jc w:val="right"/>
              <w:ind w:right="419"/>
              <w:spacing w:after="0"/>
              <w:rPr>
                <w:sz w:val="20"/>
                <w:szCs w:val="20"/>
                <w:color w:val="auto"/>
              </w:rPr>
            </w:pPr>
            <w:r>
              <w:rPr>
                <w:rFonts w:ascii="Arial" w:cs="Arial" w:eastAsia="Arial" w:hAnsi="Arial"/>
                <w:sz w:val="16"/>
                <w:szCs w:val="16"/>
                <w:b w:val="1"/>
                <w:bCs w:val="1"/>
                <w:color w:val="1478A3"/>
              </w:rPr>
              <w:t>85%</w:t>
            </w:r>
          </w:p>
        </w:tc>
        <w:tc>
          <w:tcPr>
            <w:tcW w:w="1440" w:type="dxa"/>
            <w:vAlign w:val="bottom"/>
            <w:tcBorders>
              <w:bottom w:val="single" w:sz="8" w:color="B6B6B6"/>
              <w:right w:val="single" w:sz="8" w:color="B6B6B6"/>
            </w:tcBorders>
            <w:shd w:val="clear" w:color="auto" w:fill="E3EAEE"/>
          </w:tcPr>
          <w:p>
            <w:pPr>
              <w:jc w:val="right"/>
              <w:ind w:right="399"/>
              <w:spacing w:after="0"/>
              <w:rPr>
                <w:sz w:val="20"/>
                <w:szCs w:val="20"/>
                <w:color w:val="auto"/>
              </w:rPr>
            </w:pPr>
            <w:r>
              <w:rPr>
                <w:rFonts w:ascii="Arial" w:cs="Arial" w:eastAsia="Arial" w:hAnsi="Arial"/>
                <w:sz w:val="16"/>
                <w:szCs w:val="16"/>
                <w:b w:val="1"/>
                <w:bCs w:val="1"/>
                <w:color w:val="1478A3"/>
              </w:rPr>
              <w:t>100%</w:t>
            </w:r>
          </w:p>
        </w:tc>
      </w:tr>
      <w:tr>
        <w:trPr>
          <w:trHeight w:val="240"/>
        </w:trPr>
        <w:tc>
          <w:tcPr>
            <w:tcW w:w="1180" w:type="dxa"/>
            <w:vAlign w:val="bottom"/>
            <w:tcBorders>
              <w:left w:val="single" w:sz="8" w:color="B6B6B6"/>
              <w:bottom w:val="single" w:sz="8" w:color="E3EAEE"/>
              <w:right w:val="single" w:sz="8" w:color="B6B6B6"/>
            </w:tcBorders>
            <w:shd w:val="clear" w:color="auto" w:fill="E3EAEE"/>
          </w:tcPr>
          <w:p>
            <w:pPr>
              <w:ind w:left="500"/>
              <w:spacing w:after="0"/>
              <w:rPr>
                <w:sz w:val="20"/>
                <w:szCs w:val="20"/>
                <w:color w:val="auto"/>
              </w:rPr>
            </w:pPr>
            <w:r>
              <w:rPr>
                <w:rFonts w:ascii="Arial" w:cs="Arial" w:eastAsia="Arial" w:hAnsi="Arial"/>
                <w:sz w:val="16"/>
                <w:szCs w:val="16"/>
                <w:b w:val="1"/>
                <w:bCs w:val="1"/>
                <w:color w:val="1478A3"/>
              </w:rPr>
              <w:t>Total</w:t>
            </w:r>
          </w:p>
        </w:tc>
        <w:tc>
          <w:tcPr>
            <w:tcW w:w="1380" w:type="dxa"/>
            <w:vAlign w:val="bottom"/>
            <w:tcBorders>
              <w:bottom w:val="single" w:sz="8" w:color="B6B6B6"/>
              <w:right w:val="single" w:sz="8" w:color="B6B6B6"/>
            </w:tcBorders>
            <w:shd w:val="clear" w:color="auto" w:fill="E3EAEE"/>
          </w:tcPr>
          <w:p>
            <w:pPr>
              <w:ind w:left="820"/>
              <w:spacing w:after="0"/>
              <w:rPr>
                <w:sz w:val="20"/>
                <w:szCs w:val="20"/>
                <w:color w:val="auto"/>
              </w:rPr>
            </w:pPr>
            <w:r>
              <w:rPr>
                <w:rFonts w:ascii="Arial" w:cs="Arial" w:eastAsia="Arial" w:hAnsi="Arial"/>
                <w:sz w:val="16"/>
                <w:szCs w:val="16"/>
                <w:b w:val="1"/>
                <w:bCs w:val="1"/>
                <w:color w:val="1478A3"/>
              </w:rPr>
              <w:t>$ 2.4 B</w:t>
            </w:r>
          </w:p>
        </w:tc>
        <w:tc>
          <w:tcPr>
            <w:tcW w:w="140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4A4A4A"/>
                <w:w w:val="98"/>
              </w:rPr>
              <w:t>0.0%</w:t>
            </w:r>
          </w:p>
        </w:tc>
        <w:tc>
          <w:tcPr>
            <w:tcW w:w="1420" w:type="dxa"/>
            <w:vAlign w:val="bottom"/>
            <w:tcBorders>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12.5%</w:t>
            </w:r>
          </w:p>
        </w:tc>
        <w:tc>
          <w:tcPr>
            <w:tcW w:w="1420" w:type="dxa"/>
            <w:vAlign w:val="bottom"/>
            <w:tcBorders>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25.0%</w:t>
            </w:r>
          </w:p>
        </w:tc>
        <w:tc>
          <w:tcPr>
            <w:tcW w:w="1420" w:type="dxa"/>
            <w:vAlign w:val="bottom"/>
            <w:tcBorders>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37.5%</w:t>
            </w:r>
          </w:p>
        </w:tc>
        <w:tc>
          <w:tcPr>
            <w:tcW w:w="14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4A4A4A"/>
              </w:rPr>
              <w:t>50.0%</w:t>
            </w:r>
          </w:p>
        </w:tc>
      </w:tr>
      <w:tr>
        <w:trPr>
          <w:trHeight w:val="237"/>
        </w:trPr>
        <w:tc>
          <w:tcPr>
            <w:tcW w:w="1180" w:type="dxa"/>
            <w:vAlign w:val="bottom"/>
            <w:tcBorders>
              <w:left w:val="single" w:sz="8" w:color="B6B6B6"/>
              <w:bottom w:val="single" w:sz="8" w:color="E3EAEE"/>
              <w:right w:val="single" w:sz="8" w:color="B6B6B6"/>
            </w:tcBorders>
            <w:shd w:val="clear" w:color="auto" w:fill="E3EAEE"/>
          </w:tcPr>
          <w:p>
            <w:pPr>
              <w:jc w:val="center"/>
              <w:spacing w:after="0"/>
              <w:rPr>
                <w:sz w:val="20"/>
                <w:szCs w:val="20"/>
                <w:color w:val="auto"/>
              </w:rPr>
            </w:pPr>
            <w:r>
              <w:rPr>
                <w:rFonts w:ascii="Arial" w:cs="Arial" w:eastAsia="Arial" w:hAnsi="Arial"/>
                <w:sz w:val="16"/>
                <w:szCs w:val="16"/>
                <w:b w:val="1"/>
                <w:bCs w:val="1"/>
                <w:color w:val="1478A3"/>
              </w:rPr>
              <w:t>Enterprise</w:t>
            </w:r>
          </w:p>
        </w:tc>
        <w:tc>
          <w:tcPr>
            <w:tcW w:w="1380" w:type="dxa"/>
            <w:vAlign w:val="bottom"/>
            <w:tcBorders>
              <w:bottom w:val="single" w:sz="8" w:color="E3EAEE"/>
              <w:right w:val="single" w:sz="8" w:color="B6B6B6"/>
            </w:tcBorders>
            <w:shd w:val="clear" w:color="auto" w:fill="E3EAEE"/>
          </w:tcPr>
          <w:p>
            <w:pPr>
              <w:ind w:left="820"/>
              <w:spacing w:after="0"/>
              <w:rPr>
                <w:sz w:val="20"/>
                <w:szCs w:val="20"/>
                <w:color w:val="auto"/>
              </w:rPr>
            </w:pPr>
            <w:r>
              <w:rPr>
                <w:rFonts w:ascii="Arial" w:cs="Arial" w:eastAsia="Arial" w:hAnsi="Arial"/>
                <w:sz w:val="16"/>
                <w:szCs w:val="16"/>
                <w:b w:val="1"/>
                <w:bCs w:val="1"/>
                <w:color w:val="1478A3"/>
              </w:rPr>
              <w:t>$ 2.8 B</w:t>
            </w:r>
          </w:p>
        </w:tc>
        <w:tc>
          <w:tcPr>
            <w:tcW w:w="1400" w:type="dxa"/>
            <w:vAlign w:val="bottom"/>
            <w:tcBorders>
              <w:right w:val="single" w:sz="8" w:color="B6B6B6"/>
            </w:tcBorders>
          </w:tcPr>
          <w:p>
            <w:pPr>
              <w:jc w:val="center"/>
              <w:spacing w:after="0"/>
              <w:rPr>
                <w:sz w:val="20"/>
                <w:szCs w:val="20"/>
                <w:color w:val="auto"/>
              </w:rPr>
            </w:pPr>
            <w:r>
              <w:rPr>
                <w:rFonts w:ascii="Arial" w:cs="Arial" w:eastAsia="Arial" w:hAnsi="Arial"/>
                <w:sz w:val="16"/>
                <w:szCs w:val="16"/>
                <w:color w:val="4A4A4A"/>
              </w:rPr>
              <w:t>12.5%</w:t>
            </w:r>
          </w:p>
        </w:tc>
        <w:tc>
          <w:tcPr>
            <w:tcW w:w="1420" w:type="dxa"/>
            <w:vAlign w:val="bottom"/>
            <w:tcBorders>
              <w:right w:val="single" w:sz="8" w:color="B6B6B6"/>
            </w:tcBorders>
          </w:tcPr>
          <w:p>
            <w:pPr>
              <w:jc w:val="right"/>
              <w:ind w:right="399"/>
              <w:spacing w:after="0"/>
              <w:rPr>
                <w:sz w:val="20"/>
                <w:szCs w:val="20"/>
                <w:color w:val="auto"/>
              </w:rPr>
            </w:pPr>
            <w:r>
              <w:rPr>
                <w:rFonts w:ascii="Arial" w:cs="Arial" w:eastAsia="Arial" w:hAnsi="Arial"/>
                <w:sz w:val="16"/>
                <w:szCs w:val="16"/>
                <w:color w:val="4A4A4A"/>
              </w:rPr>
              <w:t>25.0%</w:t>
            </w:r>
          </w:p>
        </w:tc>
        <w:tc>
          <w:tcPr>
            <w:tcW w:w="1420" w:type="dxa"/>
            <w:vAlign w:val="bottom"/>
            <w:tcBorders>
              <w:right w:val="single" w:sz="8" w:color="B6B6B6"/>
            </w:tcBorders>
          </w:tcPr>
          <w:p>
            <w:pPr>
              <w:jc w:val="right"/>
              <w:ind w:right="399"/>
              <w:spacing w:after="0"/>
              <w:rPr>
                <w:sz w:val="20"/>
                <w:szCs w:val="20"/>
                <w:color w:val="auto"/>
              </w:rPr>
            </w:pPr>
            <w:r>
              <w:rPr>
                <w:rFonts w:ascii="Arial" w:cs="Arial" w:eastAsia="Arial" w:hAnsi="Arial"/>
                <w:sz w:val="16"/>
                <w:szCs w:val="16"/>
                <w:color w:val="4A4A4A"/>
              </w:rPr>
              <w:t>37.5%</w:t>
            </w:r>
          </w:p>
        </w:tc>
        <w:tc>
          <w:tcPr>
            <w:tcW w:w="1420" w:type="dxa"/>
            <w:vAlign w:val="bottom"/>
            <w:tcBorders>
              <w:right w:val="single" w:sz="8" w:color="B6B6B6"/>
            </w:tcBorders>
          </w:tcPr>
          <w:p>
            <w:pPr>
              <w:jc w:val="right"/>
              <w:ind w:right="399"/>
              <w:spacing w:after="0"/>
              <w:rPr>
                <w:sz w:val="20"/>
                <w:szCs w:val="20"/>
                <w:color w:val="auto"/>
              </w:rPr>
            </w:pPr>
            <w:r>
              <w:rPr>
                <w:rFonts w:ascii="Arial" w:cs="Arial" w:eastAsia="Arial" w:hAnsi="Arial"/>
                <w:sz w:val="16"/>
                <w:szCs w:val="16"/>
                <w:color w:val="4A4A4A"/>
              </w:rPr>
              <w:t>50.0%</w:t>
            </w:r>
          </w:p>
        </w:tc>
        <w:tc>
          <w:tcPr>
            <w:tcW w:w="1440" w:type="dxa"/>
            <w:vAlign w:val="bottom"/>
            <w:tcBorders>
              <w:right w:val="single" w:sz="8" w:color="B6B6B6"/>
            </w:tcBorders>
          </w:tcPr>
          <w:p>
            <w:pPr>
              <w:jc w:val="center"/>
              <w:spacing w:after="0"/>
              <w:rPr>
                <w:sz w:val="20"/>
                <w:szCs w:val="20"/>
                <w:color w:val="auto"/>
              </w:rPr>
            </w:pPr>
            <w:r>
              <w:rPr>
                <w:rFonts w:ascii="Arial" w:cs="Arial" w:eastAsia="Arial" w:hAnsi="Arial"/>
                <w:sz w:val="16"/>
                <w:szCs w:val="16"/>
                <w:color w:val="4A4A4A"/>
              </w:rPr>
              <w:t>62.5%</w:t>
            </w:r>
          </w:p>
        </w:tc>
      </w:tr>
      <w:tr>
        <w:trPr>
          <w:trHeight w:val="233"/>
        </w:trPr>
        <w:tc>
          <w:tcPr>
            <w:tcW w:w="1180" w:type="dxa"/>
            <w:vAlign w:val="bottom"/>
            <w:tcBorders>
              <w:top w:val="single" w:sz="8" w:color="E3EAEE"/>
              <w:left w:val="single" w:sz="8" w:color="B6B6B6"/>
              <w:bottom w:val="single" w:sz="8" w:color="E3EAEE"/>
              <w:right w:val="single" w:sz="8" w:color="B6B6B6"/>
            </w:tcBorders>
            <w:shd w:val="clear" w:color="auto" w:fill="E3EAEE"/>
          </w:tcPr>
          <w:p>
            <w:pPr>
              <w:jc w:val="center"/>
              <w:spacing w:after="0" w:line="161" w:lineRule="exact"/>
              <w:rPr>
                <w:sz w:val="20"/>
                <w:szCs w:val="20"/>
                <w:color w:val="auto"/>
              </w:rPr>
            </w:pPr>
            <w:r>
              <w:rPr>
                <w:rFonts w:ascii="Arial" w:cs="Arial" w:eastAsia="Arial" w:hAnsi="Arial"/>
                <w:sz w:val="16"/>
                <w:szCs w:val="16"/>
                <w:b w:val="1"/>
                <w:bCs w:val="1"/>
                <w:color w:val="1478A3"/>
                <w:w w:val="98"/>
              </w:rPr>
              <w:t>Value</w:t>
            </w:r>
          </w:p>
        </w:tc>
        <w:tc>
          <w:tcPr>
            <w:tcW w:w="1380" w:type="dxa"/>
            <w:vAlign w:val="bottom"/>
            <w:tcBorders>
              <w:top w:val="single" w:sz="8" w:color="B6B6B6"/>
              <w:bottom w:val="single" w:sz="8" w:color="B6B6B6"/>
              <w:right w:val="single" w:sz="8" w:color="B6B6B6"/>
            </w:tcBorders>
            <w:shd w:val="clear" w:color="auto" w:fill="E3EAEE"/>
          </w:tcPr>
          <w:p>
            <w:pPr>
              <w:ind w:left="820"/>
              <w:spacing w:after="0"/>
              <w:rPr>
                <w:sz w:val="20"/>
                <w:szCs w:val="20"/>
                <w:color w:val="auto"/>
              </w:rPr>
            </w:pPr>
            <w:r>
              <w:rPr>
                <w:rFonts w:ascii="Arial" w:cs="Arial" w:eastAsia="Arial" w:hAnsi="Arial"/>
                <w:sz w:val="16"/>
                <w:szCs w:val="16"/>
                <w:b w:val="1"/>
                <w:bCs w:val="1"/>
                <w:color w:val="1478A3"/>
              </w:rPr>
              <w:t>$ 3.2 B</w:t>
            </w:r>
          </w:p>
        </w:tc>
        <w:tc>
          <w:tcPr>
            <w:tcW w:w="1400" w:type="dxa"/>
            <w:vAlign w:val="bottom"/>
            <w:tcBorders>
              <w:top w:val="single" w:sz="8" w:color="B6B6B6"/>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4A4A4A"/>
              </w:rPr>
              <w:t>25.0%</w:t>
            </w:r>
          </w:p>
        </w:tc>
        <w:tc>
          <w:tcPr>
            <w:tcW w:w="1420" w:type="dxa"/>
            <w:vAlign w:val="bottom"/>
            <w:tcBorders>
              <w:top w:val="single" w:sz="8" w:color="B6B6B6"/>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37.5%</w:t>
            </w:r>
          </w:p>
        </w:tc>
        <w:tc>
          <w:tcPr>
            <w:tcW w:w="1420" w:type="dxa"/>
            <w:vAlign w:val="bottom"/>
            <w:tcBorders>
              <w:top w:val="single" w:sz="8" w:color="B6B6B6"/>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50.0%</w:t>
            </w:r>
          </w:p>
        </w:tc>
        <w:tc>
          <w:tcPr>
            <w:tcW w:w="1420" w:type="dxa"/>
            <w:vAlign w:val="bottom"/>
            <w:tcBorders>
              <w:top w:val="single" w:sz="8" w:color="B6B6B6"/>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62.5%</w:t>
            </w:r>
          </w:p>
        </w:tc>
        <w:tc>
          <w:tcPr>
            <w:tcW w:w="1440" w:type="dxa"/>
            <w:vAlign w:val="bottom"/>
            <w:tcBorders>
              <w:top w:val="single" w:sz="8" w:color="B6B6B6"/>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4A4A4A"/>
              </w:rPr>
              <w:t>75.0%</w:t>
            </w:r>
          </w:p>
        </w:tc>
      </w:tr>
      <w:tr>
        <w:trPr>
          <w:trHeight w:val="236"/>
        </w:trPr>
        <w:tc>
          <w:tcPr>
            <w:tcW w:w="1180" w:type="dxa"/>
            <w:vAlign w:val="bottom"/>
            <w:tcBorders>
              <w:left w:val="single" w:sz="8" w:color="B6B6B6"/>
              <w:bottom w:val="single" w:sz="8" w:color="E3EAEE"/>
              <w:right w:val="single" w:sz="8" w:color="B6B6B6"/>
            </w:tcBorders>
            <w:shd w:val="clear" w:color="auto" w:fill="E3EAEE"/>
          </w:tcPr>
          <w:p>
            <w:pPr>
              <w:spacing w:after="0"/>
              <w:rPr>
                <w:sz w:val="20"/>
                <w:szCs w:val="20"/>
                <w:color w:val="auto"/>
              </w:rPr>
            </w:pPr>
          </w:p>
        </w:tc>
        <w:tc>
          <w:tcPr>
            <w:tcW w:w="1380" w:type="dxa"/>
            <w:vAlign w:val="bottom"/>
            <w:tcBorders>
              <w:bottom w:val="single" w:sz="8" w:color="B6B6B6"/>
              <w:right w:val="single" w:sz="8" w:color="B6B6B6"/>
            </w:tcBorders>
            <w:shd w:val="clear" w:color="auto" w:fill="E3EAEE"/>
          </w:tcPr>
          <w:p>
            <w:pPr>
              <w:ind w:left="820"/>
              <w:spacing w:after="0"/>
              <w:rPr>
                <w:sz w:val="20"/>
                <w:szCs w:val="20"/>
                <w:color w:val="auto"/>
              </w:rPr>
            </w:pPr>
            <w:r>
              <w:rPr>
                <w:rFonts w:ascii="Arial" w:cs="Arial" w:eastAsia="Arial" w:hAnsi="Arial"/>
                <w:sz w:val="16"/>
                <w:szCs w:val="16"/>
                <w:b w:val="1"/>
                <w:bCs w:val="1"/>
                <w:color w:val="1478A3"/>
              </w:rPr>
              <w:t>$ 3.6 B</w:t>
            </w:r>
          </w:p>
        </w:tc>
        <w:tc>
          <w:tcPr>
            <w:tcW w:w="140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4A4A4A"/>
              </w:rPr>
              <w:t>37.5%</w:t>
            </w:r>
          </w:p>
        </w:tc>
        <w:tc>
          <w:tcPr>
            <w:tcW w:w="1420" w:type="dxa"/>
            <w:vAlign w:val="bottom"/>
            <w:tcBorders>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50.0%</w:t>
            </w:r>
          </w:p>
        </w:tc>
        <w:tc>
          <w:tcPr>
            <w:tcW w:w="1420" w:type="dxa"/>
            <w:vAlign w:val="bottom"/>
            <w:tcBorders>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62.5%</w:t>
            </w:r>
          </w:p>
        </w:tc>
        <w:tc>
          <w:tcPr>
            <w:tcW w:w="1420" w:type="dxa"/>
            <w:vAlign w:val="bottom"/>
            <w:tcBorders>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75.0%</w:t>
            </w:r>
          </w:p>
        </w:tc>
        <w:tc>
          <w:tcPr>
            <w:tcW w:w="14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4A4A4A"/>
              </w:rPr>
              <w:t>87.5%</w:t>
            </w:r>
          </w:p>
        </w:tc>
      </w:tr>
      <w:tr>
        <w:trPr>
          <w:trHeight w:val="236"/>
        </w:trPr>
        <w:tc>
          <w:tcPr>
            <w:tcW w:w="1180" w:type="dxa"/>
            <w:vAlign w:val="bottom"/>
            <w:tcBorders>
              <w:left w:val="single" w:sz="8" w:color="B6B6B6"/>
              <w:bottom w:val="single" w:sz="8" w:color="B6B6B6"/>
              <w:right w:val="single" w:sz="8" w:color="B6B6B6"/>
            </w:tcBorders>
            <w:shd w:val="clear" w:color="auto" w:fill="E3EAEE"/>
          </w:tcPr>
          <w:p>
            <w:pPr>
              <w:spacing w:after="0"/>
              <w:rPr>
                <w:sz w:val="20"/>
                <w:szCs w:val="20"/>
                <w:color w:val="auto"/>
              </w:rPr>
            </w:pPr>
          </w:p>
        </w:tc>
        <w:tc>
          <w:tcPr>
            <w:tcW w:w="1380" w:type="dxa"/>
            <w:vAlign w:val="bottom"/>
            <w:tcBorders>
              <w:bottom w:val="single" w:sz="8" w:color="B6B6B6"/>
              <w:right w:val="single" w:sz="8" w:color="B6B6B6"/>
            </w:tcBorders>
            <w:shd w:val="clear" w:color="auto" w:fill="E3EAEE"/>
          </w:tcPr>
          <w:p>
            <w:pPr>
              <w:ind w:left="820"/>
              <w:spacing w:after="0"/>
              <w:rPr>
                <w:sz w:val="20"/>
                <w:szCs w:val="20"/>
                <w:color w:val="auto"/>
              </w:rPr>
            </w:pPr>
            <w:r>
              <w:rPr>
                <w:rFonts w:ascii="Arial" w:cs="Arial" w:eastAsia="Arial" w:hAnsi="Arial"/>
                <w:sz w:val="16"/>
                <w:szCs w:val="16"/>
                <w:b w:val="1"/>
                <w:bCs w:val="1"/>
                <w:color w:val="1478A3"/>
              </w:rPr>
              <w:t>$ 4.0 B</w:t>
            </w:r>
          </w:p>
        </w:tc>
        <w:tc>
          <w:tcPr>
            <w:tcW w:w="140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4A4A4A"/>
              </w:rPr>
              <w:t>50.0%</w:t>
            </w:r>
          </w:p>
        </w:tc>
        <w:tc>
          <w:tcPr>
            <w:tcW w:w="1420" w:type="dxa"/>
            <w:vAlign w:val="bottom"/>
            <w:tcBorders>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62.5%</w:t>
            </w:r>
          </w:p>
        </w:tc>
        <w:tc>
          <w:tcPr>
            <w:tcW w:w="1420" w:type="dxa"/>
            <w:vAlign w:val="bottom"/>
            <w:tcBorders>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75.0%</w:t>
            </w:r>
          </w:p>
        </w:tc>
        <w:tc>
          <w:tcPr>
            <w:tcW w:w="1420" w:type="dxa"/>
            <w:vAlign w:val="bottom"/>
            <w:tcBorders>
              <w:bottom w:val="single" w:sz="8" w:color="B6B6B6"/>
              <w:right w:val="single" w:sz="8" w:color="B6B6B6"/>
            </w:tcBorders>
          </w:tcPr>
          <w:p>
            <w:pPr>
              <w:jc w:val="right"/>
              <w:ind w:right="399"/>
              <w:spacing w:after="0"/>
              <w:rPr>
                <w:sz w:val="20"/>
                <w:szCs w:val="20"/>
                <w:color w:val="auto"/>
              </w:rPr>
            </w:pPr>
            <w:r>
              <w:rPr>
                <w:rFonts w:ascii="Arial" w:cs="Arial" w:eastAsia="Arial" w:hAnsi="Arial"/>
                <w:sz w:val="16"/>
                <w:szCs w:val="16"/>
                <w:color w:val="4A4A4A"/>
              </w:rPr>
              <w:t>87.5%</w:t>
            </w:r>
          </w:p>
        </w:tc>
        <w:tc>
          <w:tcPr>
            <w:tcW w:w="14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4A4A4A"/>
                <w:w w:val="99"/>
              </w:rPr>
              <w:t>100.0%</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Tax And Accounting Implications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3E474E"/>
        </w:rPr>
        <w:t>Section 162(m) of the Code (“Section 162(m)”) generally precludes a publicly-held corporation from a federal income tax deduction for a taxable year for compensation in excess of $1 million paid to certain executive officers. While the Compensation Committee considers the limitation on deductibility of compensation under Section 162(m), the Compensation Committee believes it is important to retain the flexibility to design compensation programs consistent with our overall executive compensation program, even if some executive compensation is not fully deductible, and retains the flexibility to award compensation that it determines to be consistent with the goals of our executive compensation program even if the awards are not deductible for tax purposes. We also consider the accounting impact of all compensation paid to our executives, and equity awards are given special consideration pursuant to FASB ASC Topic 718.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57AED5"/>
        </w:rPr>
        <w:t>LTIP UNITS</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6"/>
          <w:szCs w:val="16"/>
          <w:color w:val="3E474E"/>
        </w:rPr>
        <w:t>LTIP units are a special class of partnership interests in the Operating Partnership. Our Operating Partnership has two classes of LTIP units: (1) Time-Based LTIP units, which have time-based vesting conditions (“Time-Based LTIP units”), and (2) Performance LTIP units, which have performance-based vesting conditions (“Performance LTIP units”). Each LTIP unit awarded is deemed equivalent to an award of one share of stock under the Equity Incentive Plan, reducing the availability for other equity awards on a one-for-one basis. Initially, each LTIP unit has a capital account balance of zero and, therefore, the holder of the LTIP unit would receive nothing if the Operating Partnership were liquidated immediately after the LTIP unit is awarded. Under the terms of the Operating Partnership’s agreement of limited partnership, the Operating Partnership will revalue for tax purposes its assets upon the occurrence of certain specified events, and any increase in valuation from the time of grant until such event will be allocated first to the holders of LTIP units to equalize the capital accounts of such holders with the capital accounts of holders of OP units. Subject to any agreed upon exceptions (including pursuant to the applicable LTIP unit award agreement), once vested and having achieved parity with holders of OP units, LTIP units are convertible into OP units on a one-for-one basis, which, in turn, may be tendered for cash equal to the then-current market value of one share of common stock or, at our election, one share of common stock.</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1478A3"/>
        </w:rPr>
        <w:t>Compensation Committee Interlocks and Insider Participation</w:t>
      </w:r>
    </w:p>
    <w:p>
      <w:pPr>
        <w:spacing w:after="0" w:line="56"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3E474E"/>
        </w:rPr>
        <w:t>The members of the Compensation Committee of the Board of Directors are Ms. Boykin and Messrs. Allen and Cherry, with Mr. Cherry serving as chairperson, each of whom is an independent director. None of our executive officers served as a member of the Board of Directors or Compensation Committee of any entity that has one or more executive officers serving as a member of our Board of Directors or the Compensation Committee. Accordingly, during the fiscal year ended December 31, 2025, there were no interlocks with other companies within the meaning of the SEC’s proxy rules.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1478A3"/>
        </w:rPr>
        <w:t>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670560</wp:posOffset>
            </wp:positionV>
            <wp:extent cx="8255"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670560</wp:posOffset>
            </wp:positionV>
            <wp:extent cx="8255"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47</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color w:val="747C83"/>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3E474E"/>
        </w:rPr>
        <w:t>Employees of our operating partnership and its affiliates who are members of a select group of management or highly compensated employees are subject to our Severance Plan, which provides severance benefits upon a termination of employment under certain circumstances. See “Potential Payments Upon Termination or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48</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747C83"/>
        </w:rPr>
        <w:t>Compensation Tables and Narratives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COMPENSATION TABLES AND NARRATIVES</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1478A3"/>
        </w:rPr>
        <w:t>Summary Compensation Table</w:t>
      </w:r>
    </w:p>
    <w:p>
      <w:pPr>
        <w:spacing w:after="0" w:line="7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3E474E"/>
        </w:rPr>
        <w:t>The following table sets forth a summary of all compensation earned, awarded, or paid, as applicable, to our NEOs in the fiscal years ended December 31, 2025, 2024, and 2023.</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3E474E"/>
        </w:rPr>
        <w:t>As described above in the Compensation Discussion &amp; Analysis, the Compensation Committee determined to conform the 2025 equity award program to prevailing market practice and grant equity awards on a prospective (forward-looking) basis as compared to our historical practice of granting equity awards in arrears (backward-looking based on the prior year's performance). As such, in accordance with SEC rules, the 2025 Summary Compensation Table includes the equity awards granted in early 2025 for both the 2024 (in arrears) and 2025 (prospective) service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80" w:type="dxa"/>
            <w:vAlign w:val="bottom"/>
            <w:shd w:val="clear" w:color="auto" w:fill="E3EAEE"/>
          </w:tcPr>
          <w:p>
            <w:pPr>
              <w:spacing w:after="0"/>
              <w:rPr>
                <w:sz w:val="17"/>
                <w:szCs w:val="17"/>
                <w:color w:val="auto"/>
              </w:rPr>
            </w:pPr>
          </w:p>
        </w:tc>
        <w:tc>
          <w:tcPr>
            <w:tcW w:w="900" w:type="dxa"/>
            <w:vAlign w:val="bottom"/>
            <w:shd w:val="clear" w:color="auto" w:fill="E3EAEE"/>
          </w:tcPr>
          <w:p>
            <w:pPr>
              <w:spacing w:after="0"/>
              <w:rPr>
                <w:sz w:val="17"/>
                <w:szCs w:val="17"/>
                <w:color w:val="auto"/>
              </w:rPr>
            </w:pPr>
          </w:p>
        </w:tc>
        <w:tc>
          <w:tcPr>
            <w:tcW w:w="100" w:type="dxa"/>
            <w:vAlign w:val="bottom"/>
            <w:shd w:val="clear" w:color="auto" w:fill="E3EAEE"/>
          </w:tcPr>
          <w:p>
            <w:pPr>
              <w:spacing w:after="0"/>
              <w:rPr>
                <w:sz w:val="17"/>
                <w:szCs w:val="17"/>
                <w:color w:val="auto"/>
              </w:rPr>
            </w:pPr>
          </w:p>
        </w:tc>
        <w:tc>
          <w:tcPr>
            <w:tcW w:w="1120" w:type="dxa"/>
            <w:vAlign w:val="bottom"/>
            <w:shd w:val="clear" w:color="auto" w:fill="E3EAEE"/>
          </w:tcPr>
          <w:p>
            <w:pPr>
              <w:spacing w:after="0"/>
              <w:rPr>
                <w:sz w:val="17"/>
                <w:szCs w:val="17"/>
                <w:color w:val="auto"/>
              </w:rPr>
            </w:pPr>
          </w:p>
        </w:tc>
        <w:tc>
          <w:tcPr>
            <w:tcW w:w="340" w:type="dxa"/>
            <w:vAlign w:val="bottom"/>
            <w:shd w:val="clear" w:color="auto" w:fill="E3EAEE"/>
          </w:tcPr>
          <w:p>
            <w:pPr>
              <w:spacing w:after="0"/>
              <w:rPr>
                <w:sz w:val="17"/>
                <w:szCs w:val="17"/>
                <w:color w:val="auto"/>
              </w:rPr>
            </w:pPr>
          </w:p>
        </w:tc>
        <w:tc>
          <w:tcPr>
            <w:tcW w:w="1320" w:type="dxa"/>
            <w:vAlign w:val="bottom"/>
            <w:shd w:val="clear" w:color="auto" w:fill="E3EAEE"/>
          </w:tcPr>
          <w:p>
            <w:pPr>
              <w:jc w:val="right"/>
              <w:ind w:right="139"/>
              <w:spacing w:after="0"/>
              <w:rPr>
                <w:sz w:val="20"/>
                <w:szCs w:val="20"/>
                <w:color w:val="auto"/>
              </w:rPr>
            </w:pPr>
            <w:r>
              <w:rPr>
                <w:rFonts w:ascii="Arial" w:cs="Arial" w:eastAsia="Arial" w:hAnsi="Arial"/>
                <w:sz w:val="16"/>
                <w:szCs w:val="16"/>
                <w:b w:val="1"/>
                <w:bCs w:val="1"/>
                <w:color w:val="1478A3"/>
              </w:rPr>
              <w:t>Equity</w:t>
            </w:r>
          </w:p>
        </w:tc>
        <w:tc>
          <w:tcPr>
            <w:tcW w:w="2060" w:type="dxa"/>
            <w:vAlign w:val="bottom"/>
            <w:shd w:val="clear" w:color="auto" w:fill="E3EAEE"/>
          </w:tcPr>
          <w:p>
            <w:pPr>
              <w:jc w:val="right"/>
              <w:ind w:right="119"/>
              <w:spacing w:after="0"/>
              <w:rPr>
                <w:sz w:val="20"/>
                <w:szCs w:val="20"/>
                <w:color w:val="auto"/>
              </w:rPr>
            </w:pPr>
            <w:r>
              <w:rPr>
                <w:rFonts w:ascii="Arial" w:cs="Arial" w:eastAsia="Arial" w:hAnsi="Arial"/>
                <w:sz w:val="16"/>
                <w:szCs w:val="16"/>
                <w:b w:val="1"/>
                <w:bCs w:val="1"/>
                <w:color w:val="1478A3"/>
              </w:rPr>
              <w:t>Non-Equity Incentive</w:t>
            </w:r>
          </w:p>
        </w:tc>
        <w:tc>
          <w:tcPr>
            <w:tcW w:w="134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All Other</w:t>
            </w:r>
          </w:p>
        </w:tc>
        <w:tc>
          <w:tcPr>
            <w:tcW w:w="340" w:type="dxa"/>
            <w:vAlign w:val="bottom"/>
            <w:shd w:val="clear" w:color="auto" w:fill="E3EAEE"/>
          </w:tcPr>
          <w:p>
            <w:pPr>
              <w:spacing w:after="0"/>
              <w:rPr>
                <w:sz w:val="17"/>
                <w:szCs w:val="17"/>
                <w:color w:val="auto"/>
              </w:rPr>
            </w:pPr>
          </w:p>
        </w:tc>
        <w:tc>
          <w:tcPr>
            <w:tcW w:w="1240" w:type="dxa"/>
            <w:vAlign w:val="bottom"/>
            <w:shd w:val="clear" w:color="auto" w:fill="E3EAE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E3EAEE"/>
          </w:tcPr>
          <w:p>
            <w:pPr>
              <w:spacing w:after="0"/>
              <w:rPr>
                <w:sz w:val="16"/>
                <w:szCs w:val="16"/>
                <w:color w:val="auto"/>
              </w:rPr>
            </w:pPr>
          </w:p>
        </w:tc>
        <w:tc>
          <w:tcPr>
            <w:tcW w:w="900" w:type="dxa"/>
            <w:vAlign w:val="bottom"/>
            <w:shd w:val="clear" w:color="auto" w:fill="E3EAEE"/>
          </w:tcPr>
          <w:p>
            <w:pPr>
              <w:spacing w:after="0"/>
              <w:rPr>
                <w:sz w:val="16"/>
                <w:szCs w:val="16"/>
                <w:color w:val="auto"/>
              </w:rPr>
            </w:pPr>
          </w:p>
        </w:tc>
        <w:tc>
          <w:tcPr>
            <w:tcW w:w="100" w:type="dxa"/>
            <w:vAlign w:val="bottom"/>
            <w:shd w:val="clear" w:color="auto" w:fill="E3EAEE"/>
          </w:tcPr>
          <w:p>
            <w:pPr>
              <w:spacing w:after="0"/>
              <w:rPr>
                <w:sz w:val="16"/>
                <w:szCs w:val="16"/>
                <w:color w:val="auto"/>
              </w:rPr>
            </w:pPr>
          </w:p>
        </w:tc>
        <w:tc>
          <w:tcPr>
            <w:tcW w:w="1460" w:type="dxa"/>
            <w:vAlign w:val="bottom"/>
            <w:gridSpan w:val="2"/>
            <w:shd w:val="clear" w:color="auto" w:fill="E3EAEE"/>
          </w:tcPr>
          <w:p>
            <w:pPr>
              <w:jc w:val="right"/>
              <w:ind w:right="320"/>
              <w:spacing w:after="0"/>
              <w:rPr>
                <w:sz w:val="20"/>
                <w:szCs w:val="20"/>
                <w:color w:val="auto"/>
              </w:rPr>
            </w:pPr>
            <w:r>
              <w:rPr>
                <w:rFonts w:ascii="Arial" w:cs="Arial" w:eastAsia="Arial" w:hAnsi="Arial"/>
                <w:sz w:val="16"/>
                <w:szCs w:val="16"/>
                <w:b w:val="1"/>
                <w:bCs w:val="1"/>
                <w:color w:val="1478A3"/>
              </w:rPr>
              <w:t>Salary</w:t>
            </w:r>
          </w:p>
        </w:tc>
        <w:tc>
          <w:tcPr>
            <w:tcW w:w="1320" w:type="dxa"/>
            <w:vAlign w:val="bottom"/>
            <w:shd w:val="clear" w:color="auto" w:fill="E3EAEE"/>
          </w:tcPr>
          <w:p>
            <w:pPr>
              <w:jc w:val="right"/>
              <w:ind w:right="139"/>
              <w:spacing w:after="0" w:line="189" w:lineRule="exact"/>
              <w:rPr>
                <w:sz w:val="20"/>
                <w:szCs w:val="20"/>
                <w:color w:val="auto"/>
              </w:rPr>
            </w:pPr>
            <w:r>
              <w:rPr>
                <w:rFonts w:ascii="Arial" w:cs="Arial" w:eastAsia="Arial" w:hAnsi="Arial"/>
                <w:sz w:val="16"/>
                <w:szCs w:val="16"/>
                <w:b w:val="1"/>
                <w:bCs w:val="1"/>
                <w:color w:val="1478A3"/>
              </w:rPr>
              <w:t>Awards</w:t>
            </w:r>
            <w:r>
              <w:rPr>
                <w:rFonts w:ascii="Arial" w:cs="Arial" w:eastAsia="Arial" w:hAnsi="Arial"/>
                <w:sz w:val="21"/>
                <w:szCs w:val="21"/>
                <w:b w:val="1"/>
                <w:bCs w:val="1"/>
                <w:color w:val="1478A3"/>
                <w:vertAlign w:val="superscript"/>
              </w:rPr>
              <w:t>(1)</w:t>
            </w:r>
          </w:p>
        </w:tc>
        <w:tc>
          <w:tcPr>
            <w:tcW w:w="2060" w:type="dxa"/>
            <w:vAlign w:val="bottom"/>
            <w:shd w:val="clear" w:color="auto" w:fill="E3EAEE"/>
          </w:tcPr>
          <w:p>
            <w:pPr>
              <w:jc w:val="right"/>
              <w:ind w:right="119"/>
              <w:spacing w:after="0" w:line="189" w:lineRule="exact"/>
              <w:rPr>
                <w:sz w:val="20"/>
                <w:szCs w:val="20"/>
                <w:color w:val="auto"/>
              </w:rPr>
            </w:pPr>
            <w:r>
              <w:rPr>
                <w:rFonts w:ascii="Arial" w:cs="Arial" w:eastAsia="Arial" w:hAnsi="Arial"/>
                <w:sz w:val="16"/>
                <w:szCs w:val="16"/>
                <w:b w:val="1"/>
                <w:bCs w:val="1"/>
                <w:color w:val="1478A3"/>
              </w:rPr>
              <w:t>Plan Compensation</w:t>
            </w:r>
            <w:r>
              <w:rPr>
                <w:rFonts w:ascii="Arial" w:cs="Arial" w:eastAsia="Arial" w:hAnsi="Arial"/>
                <w:sz w:val="21"/>
                <w:szCs w:val="21"/>
                <w:b w:val="1"/>
                <w:bCs w:val="1"/>
                <w:color w:val="1478A3"/>
                <w:vertAlign w:val="superscript"/>
              </w:rPr>
              <w:t>(2)</w:t>
            </w:r>
          </w:p>
        </w:tc>
        <w:tc>
          <w:tcPr>
            <w:tcW w:w="134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Compensation</w:t>
            </w:r>
          </w:p>
        </w:tc>
        <w:tc>
          <w:tcPr>
            <w:tcW w:w="340" w:type="dxa"/>
            <w:vAlign w:val="bottom"/>
            <w:shd w:val="clear" w:color="auto" w:fill="E3EAEE"/>
          </w:tcPr>
          <w:p>
            <w:pPr>
              <w:spacing w:after="0"/>
              <w:rPr>
                <w:sz w:val="16"/>
                <w:szCs w:val="16"/>
                <w:color w:val="auto"/>
              </w:rPr>
            </w:pPr>
          </w:p>
        </w:tc>
        <w:tc>
          <w:tcPr>
            <w:tcW w:w="124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Total</w:t>
            </w:r>
          </w:p>
        </w:tc>
        <w:tc>
          <w:tcPr>
            <w:tcW w:w="0" w:type="dxa"/>
            <w:vAlign w:val="bottom"/>
          </w:tcPr>
          <w:p>
            <w:pPr>
              <w:spacing w:after="0"/>
              <w:rPr>
                <w:sz w:val="1"/>
                <w:szCs w:val="1"/>
                <w:color w:val="auto"/>
              </w:rPr>
            </w:pPr>
          </w:p>
        </w:tc>
      </w:tr>
      <w:tr>
        <w:trPr>
          <w:trHeight w:val="236"/>
        </w:trPr>
        <w:tc>
          <w:tcPr>
            <w:tcW w:w="2080" w:type="dxa"/>
            <w:vAlign w:val="bottom"/>
            <w:shd w:val="clear" w:color="auto" w:fill="E3EAEE"/>
          </w:tcPr>
          <w:p>
            <w:pPr>
              <w:ind w:left="20"/>
              <w:spacing w:after="0"/>
              <w:rPr>
                <w:sz w:val="20"/>
                <w:szCs w:val="20"/>
                <w:color w:val="auto"/>
              </w:rPr>
            </w:pPr>
            <w:r>
              <w:rPr>
                <w:rFonts w:ascii="Arial" w:cs="Arial" w:eastAsia="Arial" w:hAnsi="Arial"/>
                <w:sz w:val="16"/>
                <w:szCs w:val="16"/>
                <w:b w:val="1"/>
                <w:bCs w:val="1"/>
                <w:color w:val="1478A3"/>
              </w:rPr>
              <w:t>Name</w:t>
            </w:r>
          </w:p>
        </w:tc>
        <w:tc>
          <w:tcPr>
            <w:tcW w:w="900" w:type="dxa"/>
            <w:vAlign w:val="bottom"/>
            <w:shd w:val="clear" w:color="auto" w:fill="E3EAEE"/>
          </w:tcPr>
          <w:p>
            <w:pPr>
              <w:ind w:left="280"/>
              <w:spacing w:after="0"/>
              <w:rPr>
                <w:sz w:val="20"/>
                <w:szCs w:val="20"/>
                <w:color w:val="auto"/>
              </w:rPr>
            </w:pPr>
            <w:r>
              <w:rPr>
                <w:rFonts w:ascii="Arial" w:cs="Arial" w:eastAsia="Arial" w:hAnsi="Arial"/>
                <w:sz w:val="16"/>
                <w:szCs w:val="16"/>
                <w:b w:val="1"/>
                <w:bCs w:val="1"/>
                <w:color w:val="1478A3"/>
              </w:rPr>
              <w:t>Year</w:t>
            </w:r>
          </w:p>
        </w:tc>
        <w:tc>
          <w:tcPr>
            <w:tcW w:w="1560" w:type="dxa"/>
            <w:vAlign w:val="bottom"/>
            <w:gridSpan w:val="3"/>
            <w:shd w:val="clear" w:color="auto" w:fill="E3EAEE"/>
          </w:tcPr>
          <w:p>
            <w:pPr>
              <w:jc w:val="right"/>
              <w:ind w:right="320"/>
              <w:spacing w:after="0"/>
              <w:rPr>
                <w:sz w:val="20"/>
                <w:szCs w:val="20"/>
                <w:color w:val="auto"/>
              </w:rPr>
            </w:pPr>
            <w:r>
              <w:rPr>
                <w:rFonts w:ascii="Arial" w:cs="Arial" w:eastAsia="Arial" w:hAnsi="Arial"/>
                <w:sz w:val="16"/>
                <w:szCs w:val="16"/>
                <w:b w:val="1"/>
                <w:bCs w:val="1"/>
                <w:color w:val="1478A3"/>
              </w:rPr>
              <w:t>($)</w:t>
            </w:r>
          </w:p>
        </w:tc>
        <w:tc>
          <w:tcPr>
            <w:tcW w:w="1320" w:type="dxa"/>
            <w:vAlign w:val="bottom"/>
            <w:shd w:val="clear" w:color="auto" w:fill="E3EAEE"/>
          </w:tcPr>
          <w:p>
            <w:pPr>
              <w:jc w:val="right"/>
              <w:ind w:right="139"/>
              <w:spacing w:after="0"/>
              <w:rPr>
                <w:sz w:val="20"/>
                <w:szCs w:val="20"/>
                <w:color w:val="auto"/>
              </w:rPr>
            </w:pPr>
            <w:r>
              <w:rPr>
                <w:rFonts w:ascii="Arial" w:cs="Arial" w:eastAsia="Arial" w:hAnsi="Arial"/>
                <w:sz w:val="16"/>
                <w:szCs w:val="16"/>
                <w:b w:val="1"/>
                <w:bCs w:val="1"/>
                <w:color w:val="1478A3"/>
              </w:rPr>
              <w:t>($)</w:t>
            </w:r>
          </w:p>
        </w:tc>
        <w:tc>
          <w:tcPr>
            <w:tcW w:w="2060" w:type="dxa"/>
            <w:vAlign w:val="bottom"/>
            <w:shd w:val="clear" w:color="auto" w:fill="E3EAEE"/>
          </w:tcPr>
          <w:p>
            <w:pPr>
              <w:jc w:val="right"/>
              <w:ind w:right="119"/>
              <w:spacing w:after="0"/>
              <w:rPr>
                <w:sz w:val="20"/>
                <w:szCs w:val="20"/>
                <w:color w:val="auto"/>
              </w:rPr>
            </w:pPr>
            <w:r>
              <w:rPr>
                <w:rFonts w:ascii="Arial" w:cs="Arial" w:eastAsia="Arial" w:hAnsi="Arial"/>
                <w:sz w:val="16"/>
                <w:szCs w:val="16"/>
                <w:b w:val="1"/>
                <w:bCs w:val="1"/>
                <w:color w:val="1478A3"/>
              </w:rPr>
              <w:t>($)</w:t>
            </w:r>
          </w:p>
        </w:tc>
        <w:tc>
          <w:tcPr>
            <w:tcW w:w="134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w:t>
            </w:r>
          </w:p>
        </w:tc>
        <w:tc>
          <w:tcPr>
            <w:tcW w:w="340" w:type="dxa"/>
            <w:vAlign w:val="bottom"/>
            <w:shd w:val="clear" w:color="auto" w:fill="E3EAEE"/>
          </w:tcPr>
          <w:p>
            <w:pPr>
              <w:spacing w:after="0"/>
              <w:rPr>
                <w:sz w:val="20"/>
                <w:szCs w:val="20"/>
                <w:color w:val="auto"/>
              </w:rPr>
            </w:pPr>
          </w:p>
        </w:tc>
        <w:tc>
          <w:tcPr>
            <w:tcW w:w="124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w:t>
            </w:r>
          </w:p>
        </w:tc>
        <w:tc>
          <w:tcPr>
            <w:tcW w:w="0" w:type="dxa"/>
            <w:vAlign w:val="bottom"/>
          </w:tcPr>
          <w:p>
            <w:pPr>
              <w:spacing w:after="0"/>
              <w:rPr>
                <w:sz w:val="1"/>
                <w:szCs w:val="1"/>
                <w:color w:val="auto"/>
              </w:rPr>
            </w:pPr>
          </w:p>
        </w:tc>
      </w:tr>
      <w:tr>
        <w:trPr>
          <w:trHeight w:val="61"/>
        </w:trPr>
        <w:tc>
          <w:tcPr>
            <w:tcW w:w="2080" w:type="dxa"/>
            <w:vAlign w:val="bottom"/>
            <w:tcBorders>
              <w:bottom w:val="single" w:sz="8" w:color="007AA7"/>
            </w:tcBorders>
            <w:shd w:val="clear" w:color="auto" w:fill="E3EAEE"/>
          </w:tcPr>
          <w:p>
            <w:pPr>
              <w:spacing w:after="0"/>
              <w:rPr>
                <w:sz w:val="5"/>
                <w:szCs w:val="5"/>
                <w:color w:val="auto"/>
              </w:rPr>
            </w:pPr>
          </w:p>
        </w:tc>
        <w:tc>
          <w:tcPr>
            <w:tcW w:w="900" w:type="dxa"/>
            <w:vAlign w:val="bottom"/>
            <w:tcBorders>
              <w:bottom w:val="single" w:sz="8" w:color="007AA7"/>
            </w:tcBorders>
            <w:shd w:val="clear" w:color="auto" w:fill="E3EAEE"/>
          </w:tcPr>
          <w:p>
            <w:pPr>
              <w:spacing w:after="0"/>
              <w:rPr>
                <w:sz w:val="5"/>
                <w:szCs w:val="5"/>
                <w:color w:val="auto"/>
              </w:rPr>
            </w:pPr>
          </w:p>
        </w:tc>
        <w:tc>
          <w:tcPr>
            <w:tcW w:w="100" w:type="dxa"/>
            <w:vAlign w:val="bottom"/>
            <w:tcBorders>
              <w:bottom w:val="single" w:sz="8" w:color="007AA7"/>
            </w:tcBorders>
            <w:shd w:val="clear" w:color="auto" w:fill="E3EAEE"/>
          </w:tcPr>
          <w:p>
            <w:pPr>
              <w:spacing w:after="0"/>
              <w:rPr>
                <w:sz w:val="5"/>
                <w:szCs w:val="5"/>
                <w:color w:val="auto"/>
              </w:rPr>
            </w:pPr>
          </w:p>
        </w:tc>
        <w:tc>
          <w:tcPr>
            <w:tcW w:w="1120" w:type="dxa"/>
            <w:vAlign w:val="bottom"/>
            <w:tcBorders>
              <w:bottom w:val="single" w:sz="8" w:color="007AA7"/>
            </w:tcBorders>
            <w:shd w:val="clear" w:color="auto" w:fill="E3EAEE"/>
          </w:tcPr>
          <w:p>
            <w:pPr>
              <w:spacing w:after="0"/>
              <w:rPr>
                <w:sz w:val="5"/>
                <w:szCs w:val="5"/>
                <w:color w:val="auto"/>
              </w:rPr>
            </w:pPr>
          </w:p>
        </w:tc>
        <w:tc>
          <w:tcPr>
            <w:tcW w:w="340" w:type="dxa"/>
            <w:vAlign w:val="bottom"/>
            <w:tcBorders>
              <w:bottom w:val="single" w:sz="8" w:color="007AA7"/>
            </w:tcBorders>
            <w:shd w:val="clear" w:color="auto" w:fill="E3EAEE"/>
          </w:tcPr>
          <w:p>
            <w:pPr>
              <w:spacing w:after="0"/>
              <w:rPr>
                <w:sz w:val="5"/>
                <w:szCs w:val="5"/>
                <w:color w:val="auto"/>
              </w:rPr>
            </w:pPr>
          </w:p>
        </w:tc>
        <w:tc>
          <w:tcPr>
            <w:tcW w:w="1320" w:type="dxa"/>
            <w:vAlign w:val="bottom"/>
            <w:tcBorders>
              <w:bottom w:val="single" w:sz="8" w:color="007AA7"/>
            </w:tcBorders>
            <w:shd w:val="clear" w:color="auto" w:fill="E3EAEE"/>
          </w:tcPr>
          <w:p>
            <w:pPr>
              <w:spacing w:after="0"/>
              <w:rPr>
                <w:sz w:val="5"/>
                <w:szCs w:val="5"/>
                <w:color w:val="auto"/>
              </w:rPr>
            </w:pPr>
          </w:p>
        </w:tc>
        <w:tc>
          <w:tcPr>
            <w:tcW w:w="2060" w:type="dxa"/>
            <w:vAlign w:val="bottom"/>
            <w:tcBorders>
              <w:bottom w:val="single" w:sz="8" w:color="007AA7"/>
            </w:tcBorders>
            <w:shd w:val="clear" w:color="auto" w:fill="E3EAEE"/>
          </w:tcPr>
          <w:p>
            <w:pPr>
              <w:spacing w:after="0"/>
              <w:rPr>
                <w:sz w:val="5"/>
                <w:szCs w:val="5"/>
                <w:color w:val="auto"/>
              </w:rPr>
            </w:pPr>
          </w:p>
        </w:tc>
        <w:tc>
          <w:tcPr>
            <w:tcW w:w="1340" w:type="dxa"/>
            <w:vAlign w:val="bottom"/>
            <w:tcBorders>
              <w:bottom w:val="single" w:sz="8" w:color="007AA7"/>
            </w:tcBorders>
            <w:shd w:val="clear" w:color="auto" w:fill="E3EAEE"/>
          </w:tcPr>
          <w:p>
            <w:pPr>
              <w:spacing w:after="0"/>
              <w:rPr>
                <w:sz w:val="5"/>
                <w:szCs w:val="5"/>
                <w:color w:val="auto"/>
              </w:rPr>
            </w:pPr>
          </w:p>
        </w:tc>
        <w:tc>
          <w:tcPr>
            <w:tcW w:w="340" w:type="dxa"/>
            <w:vAlign w:val="bottom"/>
            <w:tcBorders>
              <w:bottom w:val="single" w:sz="8" w:color="1478A3"/>
            </w:tcBorders>
            <w:shd w:val="clear" w:color="auto" w:fill="E3EAEE"/>
          </w:tcPr>
          <w:p>
            <w:pPr>
              <w:spacing w:after="0"/>
              <w:rPr>
                <w:sz w:val="5"/>
                <w:szCs w:val="5"/>
                <w:color w:val="auto"/>
              </w:rPr>
            </w:pPr>
          </w:p>
        </w:tc>
        <w:tc>
          <w:tcPr>
            <w:tcW w:w="1240" w:type="dxa"/>
            <w:vAlign w:val="bottom"/>
            <w:tcBorders>
              <w:bottom w:val="single" w:sz="8" w:color="007AA7"/>
            </w:tcBorders>
            <w:shd w:val="clear" w:color="auto" w:fill="E3EAE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Shawn J. Tibbetts</w:t>
            </w:r>
          </w:p>
        </w:tc>
        <w:tc>
          <w:tcPr>
            <w:tcW w:w="900" w:type="dxa"/>
            <w:vAlign w:val="bottom"/>
            <w:shd w:val="clear" w:color="auto" w:fill="E3EAEE"/>
          </w:tcPr>
          <w:p>
            <w:pPr>
              <w:ind w:left="280"/>
              <w:spacing w:after="0"/>
              <w:rPr>
                <w:sz w:val="20"/>
                <w:szCs w:val="20"/>
                <w:color w:val="auto"/>
              </w:rPr>
            </w:pPr>
            <w:r>
              <w:rPr>
                <w:rFonts w:ascii="Arial" w:cs="Arial" w:eastAsia="Arial" w:hAnsi="Arial"/>
                <w:sz w:val="16"/>
                <w:szCs w:val="16"/>
                <w:color w:val="3E474E"/>
              </w:rPr>
              <w:t>2025</w:t>
            </w:r>
          </w:p>
        </w:tc>
        <w:tc>
          <w:tcPr>
            <w:tcW w:w="100" w:type="dxa"/>
            <w:vAlign w:val="bottom"/>
            <w:shd w:val="clear" w:color="auto" w:fill="E3EAEE"/>
          </w:tcPr>
          <w:p>
            <w:pPr>
              <w:spacing w:after="0"/>
              <w:rPr>
                <w:sz w:val="17"/>
                <w:szCs w:val="17"/>
                <w:color w:val="auto"/>
              </w:rPr>
            </w:pPr>
          </w:p>
        </w:tc>
        <w:tc>
          <w:tcPr>
            <w:tcW w:w="112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672,385</w:t>
            </w:r>
          </w:p>
        </w:tc>
        <w:tc>
          <w:tcPr>
            <w:tcW w:w="340" w:type="dxa"/>
            <w:vAlign w:val="bottom"/>
            <w:shd w:val="clear" w:color="auto" w:fill="E3EAEE"/>
          </w:tcPr>
          <w:p>
            <w:pPr>
              <w:spacing w:after="0"/>
              <w:rPr>
                <w:sz w:val="17"/>
                <w:szCs w:val="17"/>
                <w:color w:val="auto"/>
              </w:rPr>
            </w:pPr>
          </w:p>
        </w:tc>
        <w:tc>
          <w:tcPr>
            <w:tcW w:w="1320" w:type="dxa"/>
            <w:vAlign w:val="bottom"/>
            <w:shd w:val="clear" w:color="auto" w:fill="E3EAEE"/>
          </w:tcPr>
          <w:p>
            <w:pPr>
              <w:jc w:val="right"/>
              <w:ind w:right="179"/>
              <w:spacing w:after="0"/>
              <w:rPr>
                <w:sz w:val="20"/>
                <w:szCs w:val="20"/>
                <w:color w:val="auto"/>
              </w:rPr>
            </w:pPr>
            <w:r>
              <w:rPr>
                <w:rFonts w:ascii="Arial" w:cs="Arial" w:eastAsia="Arial" w:hAnsi="Arial"/>
                <w:sz w:val="16"/>
                <w:szCs w:val="16"/>
                <w:color w:val="3E474E"/>
              </w:rPr>
              <w:t>4,411,428</w:t>
            </w:r>
          </w:p>
        </w:tc>
        <w:tc>
          <w:tcPr>
            <w:tcW w:w="2060" w:type="dxa"/>
            <w:vAlign w:val="bottom"/>
            <w:shd w:val="clear" w:color="auto" w:fill="E3EAEE"/>
          </w:tcPr>
          <w:p>
            <w:pPr>
              <w:jc w:val="right"/>
              <w:ind w:right="179"/>
              <w:spacing w:after="0"/>
              <w:rPr>
                <w:sz w:val="20"/>
                <w:szCs w:val="20"/>
                <w:color w:val="auto"/>
              </w:rPr>
            </w:pPr>
            <w:r>
              <w:rPr>
                <w:rFonts w:ascii="Arial" w:cs="Arial" w:eastAsia="Arial" w:hAnsi="Arial"/>
                <w:sz w:val="16"/>
                <w:szCs w:val="16"/>
                <w:color w:val="3E474E"/>
              </w:rPr>
              <w:t>953,250</w:t>
            </w:r>
          </w:p>
        </w:tc>
        <w:tc>
          <w:tcPr>
            <w:tcW w:w="134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54,843</w:t>
            </w:r>
          </w:p>
        </w:tc>
        <w:tc>
          <w:tcPr>
            <w:tcW w:w="340" w:type="dxa"/>
            <w:vAlign w:val="bottom"/>
            <w:shd w:val="clear" w:color="auto" w:fill="E3EAEE"/>
          </w:tcPr>
          <w:p>
            <w:pPr>
              <w:jc w:val="right"/>
              <w:ind w:right="153"/>
              <w:spacing w:after="0"/>
              <w:rPr>
                <w:sz w:val="20"/>
                <w:szCs w:val="20"/>
                <w:color w:val="auto"/>
              </w:rPr>
            </w:pPr>
            <w:r>
              <w:rPr>
                <w:rFonts w:ascii="Arial" w:cs="Arial" w:eastAsia="Arial" w:hAnsi="Arial"/>
                <w:sz w:val="9"/>
                <w:szCs w:val="9"/>
                <w:color w:val="3E474E"/>
              </w:rPr>
              <w:t>(3)</w:t>
            </w:r>
          </w:p>
        </w:tc>
        <w:tc>
          <w:tcPr>
            <w:tcW w:w="124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6,091,906</w:t>
            </w:r>
          </w:p>
        </w:tc>
        <w:tc>
          <w:tcPr>
            <w:tcW w:w="0" w:type="dxa"/>
            <w:vAlign w:val="bottom"/>
          </w:tcPr>
          <w:p>
            <w:pPr>
              <w:spacing w:after="0"/>
              <w:rPr>
                <w:sz w:val="1"/>
                <w:szCs w:val="1"/>
                <w:color w:val="auto"/>
              </w:rPr>
            </w:pPr>
          </w:p>
        </w:tc>
      </w:tr>
      <w:tr>
        <w:trPr>
          <w:trHeight w:val="202"/>
        </w:trPr>
        <w:tc>
          <w:tcPr>
            <w:tcW w:w="208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Chairman, Chief Executive</w:t>
            </w:r>
          </w:p>
        </w:tc>
        <w:tc>
          <w:tcPr>
            <w:tcW w:w="900" w:type="dxa"/>
            <w:vAlign w:val="bottom"/>
            <w:vMerge w:val="restart"/>
            <w:shd w:val="clear" w:color="auto" w:fill="E3EAEE"/>
          </w:tcPr>
          <w:p>
            <w:pPr>
              <w:ind w:left="280"/>
              <w:spacing w:after="0"/>
              <w:rPr>
                <w:sz w:val="20"/>
                <w:szCs w:val="20"/>
                <w:color w:val="auto"/>
              </w:rPr>
            </w:pPr>
            <w:r>
              <w:rPr>
                <w:rFonts w:ascii="Arial" w:cs="Arial" w:eastAsia="Arial" w:hAnsi="Arial"/>
                <w:sz w:val="16"/>
                <w:szCs w:val="16"/>
                <w:color w:val="3E474E"/>
              </w:rPr>
              <w:t>2024</w:t>
            </w:r>
          </w:p>
        </w:tc>
        <w:tc>
          <w:tcPr>
            <w:tcW w:w="100" w:type="dxa"/>
            <w:vAlign w:val="bottom"/>
            <w:shd w:val="clear" w:color="auto" w:fill="E3EAEE"/>
          </w:tcPr>
          <w:p>
            <w:pPr>
              <w:spacing w:after="0"/>
              <w:rPr>
                <w:sz w:val="17"/>
                <w:szCs w:val="17"/>
                <w:color w:val="auto"/>
              </w:rPr>
            </w:pPr>
          </w:p>
        </w:tc>
        <w:tc>
          <w:tcPr>
            <w:tcW w:w="1120" w:type="dxa"/>
            <w:vAlign w:val="bottom"/>
            <w:vMerge w:val="restart"/>
            <w:shd w:val="clear" w:color="auto" w:fill="E3EAEE"/>
          </w:tcPr>
          <w:p>
            <w:pPr>
              <w:jc w:val="right"/>
              <w:spacing w:after="0"/>
              <w:rPr>
                <w:sz w:val="20"/>
                <w:szCs w:val="20"/>
                <w:color w:val="auto"/>
              </w:rPr>
            </w:pPr>
            <w:r>
              <w:rPr>
                <w:rFonts w:ascii="Arial" w:cs="Arial" w:eastAsia="Arial" w:hAnsi="Arial"/>
                <w:sz w:val="16"/>
                <w:szCs w:val="16"/>
                <w:color w:val="3E474E"/>
              </w:rPr>
              <w:t>512,120</w:t>
            </w:r>
          </w:p>
        </w:tc>
        <w:tc>
          <w:tcPr>
            <w:tcW w:w="340" w:type="dxa"/>
            <w:vAlign w:val="bottom"/>
            <w:shd w:val="clear" w:color="auto" w:fill="E3EAEE"/>
          </w:tcPr>
          <w:p>
            <w:pPr>
              <w:spacing w:after="0"/>
              <w:rPr>
                <w:sz w:val="17"/>
                <w:szCs w:val="17"/>
                <w:color w:val="auto"/>
              </w:rPr>
            </w:pPr>
          </w:p>
        </w:tc>
        <w:tc>
          <w:tcPr>
            <w:tcW w:w="1320" w:type="dxa"/>
            <w:vAlign w:val="bottom"/>
            <w:vMerge w:val="restart"/>
            <w:shd w:val="clear" w:color="auto" w:fill="E3EAEE"/>
          </w:tcPr>
          <w:p>
            <w:pPr>
              <w:jc w:val="right"/>
              <w:ind w:right="179"/>
              <w:spacing w:after="0"/>
              <w:rPr>
                <w:sz w:val="20"/>
                <w:szCs w:val="20"/>
                <w:color w:val="auto"/>
              </w:rPr>
            </w:pPr>
            <w:r>
              <w:rPr>
                <w:rFonts w:ascii="Arial" w:cs="Arial" w:eastAsia="Arial" w:hAnsi="Arial"/>
                <w:sz w:val="16"/>
                <w:szCs w:val="16"/>
                <w:color w:val="3E474E"/>
              </w:rPr>
              <w:t>663,714</w:t>
            </w:r>
          </w:p>
        </w:tc>
        <w:tc>
          <w:tcPr>
            <w:tcW w:w="2060" w:type="dxa"/>
            <w:vAlign w:val="bottom"/>
            <w:vMerge w:val="restart"/>
            <w:shd w:val="clear" w:color="auto" w:fill="E3EAEE"/>
          </w:tcPr>
          <w:p>
            <w:pPr>
              <w:jc w:val="right"/>
              <w:ind w:right="179"/>
              <w:spacing w:after="0"/>
              <w:rPr>
                <w:sz w:val="20"/>
                <w:szCs w:val="20"/>
                <w:color w:val="auto"/>
              </w:rPr>
            </w:pPr>
            <w:r>
              <w:rPr>
                <w:rFonts w:ascii="Arial" w:cs="Arial" w:eastAsia="Arial" w:hAnsi="Arial"/>
                <w:sz w:val="16"/>
                <w:szCs w:val="16"/>
                <w:color w:val="3E474E"/>
              </w:rPr>
              <w:t>337,500</w:t>
            </w:r>
          </w:p>
        </w:tc>
        <w:tc>
          <w:tcPr>
            <w:tcW w:w="1340" w:type="dxa"/>
            <w:vAlign w:val="bottom"/>
            <w:vMerge w:val="restart"/>
            <w:shd w:val="clear" w:color="auto" w:fill="E3EAEE"/>
          </w:tcPr>
          <w:p>
            <w:pPr>
              <w:jc w:val="right"/>
              <w:spacing w:after="0"/>
              <w:rPr>
                <w:sz w:val="20"/>
                <w:szCs w:val="20"/>
                <w:color w:val="auto"/>
              </w:rPr>
            </w:pPr>
            <w:r>
              <w:rPr>
                <w:rFonts w:ascii="Arial" w:cs="Arial" w:eastAsia="Arial" w:hAnsi="Arial"/>
                <w:sz w:val="16"/>
                <w:szCs w:val="16"/>
                <w:color w:val="3E474E"/>
              </w:rPr>
              <w:t>59,518</w:t>
            </w:r>
          </w:p>
        </w:tc>
        <w:tc>
          <w:tcPr>
            <w:tcW w:w="340" w:type="dxa"/>
            <w:vAlign w:val="bottom"/>
            <w:shd w:val="clear" w:color="auto" w:fill="E3EAEE"/>
          </w:tcPr>
          <w:p>
            <w:pPr>
              <w:spacing w:after="0"/>
              <w:rPr>
                <w:sz w:val="17"/>
                <w:szCs w:val="17"/>
                <w:color w:val="auto"/>
              </w:rPr>
            </w:pPr>
          </w:p>
        </w:tc>
        <w:tc>
          <w:tcPr>
            <w:tcW w:w="1240" w:type="dxa"/>
            <w:vAlign w:val="bottom"/>
            <w:vMerge w:val="restart"/>
            <w:shd w:val="clear" w:color="auto" w:fill="E3EAEE"/>
          </w:tcPr>
          <w:p>
            <w:pPr>
              <w:jc w:val="right"/>
              <w:spacing w:after="0"/>
              <w:rPr>
                <w:sz w:val="20"/>
                <w:szCs w:val="20"/>
                <w:color w:val="auto"/>
              </w:rPr>
            </w:pPr>
            <w:r>
              <w:rPr>
                <w:rFonts w:ascii="Arial" w:cs="Arial" w:eastAsia="Arial" w:hAnsi="Arial"/>
                <w:sz w:val="16"/>
                <w:szCs w:val="16"/>
                <w:color w:val="3E474E"/>
              </w:rPr>
              <w:t>1,572,852</w:t>
            </w:r>
          </w:p>
        </w:tc>
        <w:tc>
          <w:tcPr>
            <w:tcW w:w="0" w:type="dxa"/>
            <w:vAlign w:val="bottom"/>
          </w:tcPr>
          <w:p>
            <w:pPr>
              <w:spacing w:after="0"/>
              <w:rPr>
                <w:sz w:val="1"/>
                <w:szCs w:val="1"/>
                <w:color w:val="auto"/>
              </w:rPr>
            </w:pPr>
          </w:p>
        </w:tc>
      </w:tr>
      <w:tr>
        <w:trPr>
          <w:trHeight w:val="215"/>
        </w:trPr>
        <w:tc>
          <w:tcPr>
            <w:tcW w:w="208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Officer, and President</w:t>
            </w:r>
          </w:p>
        </w:tc>
        <w:tc>
          <w:tcPr>
            <w:tcW w:w="900" w:type="dxa"/>
            <w:vAlign w:val="bottom"/>
            <w:vMerge w:val="continue"/>
            <w:shd w:val="clear" w:color="auto" w:fill="E3EAEE"/>
          </w:tcPr>
          <w:p>
            <w:pPr>
              <w:spacing w:after="0"/>
              <w:rPr>
                <w:sz w:val="18"/>
                <w:szCs w:val="18"/>
                <w:color w:val="auto"/>
              </w:rPr>
            </w:pPr>
          </w:p>
        </w:tc>
        <w:tc>
          <w:tcPr>
            <w:tcW w:w="100" w:type="dxa"/>
            <w:vAlign w:val="bottom"/>
            <w:shd w:val="clear" w:color="auto" w:fill="E3EAEE"/>
          </w:tcPr>
          <w:p>
            <w:pPr>
              <w:spacing w:after="0"/>
              <w:rPr>
                <w:sz w:val="18"/>
                <w:szCs w:val="18"/>
                <w:color w:val="auto"/>
              </w:rPr>
            </w:pPr>
          </w:p>
        </w:tc>
        <w:tc>
          <w:tcPr>
            <w:tcW w:w="1120" w:type="dxa"/>
            <w:vAlign w:val="bottom"/>
            <w:vMerge w:val="continue"/>
            <w:shd w:val="clear" w:color="auto" w:fill="E3EAEE"/>
          </w:tcPr>
          <w:p>
            <w:pPr>
              <w:spacing w:after="0"/>
              <w:rPr>
                <w:sz w:val="18"/>
                <w:szCs w:val="18"/>
                <w:color w:val="auto"/>
              </w:rPr>
            </w:pPr>
          </w:p>
        </w:tc>
        <w:tc>
          <w:tcPr>
            <w:tcW w:w="340" w:type="dxa"/>
            <w:vAlign w:val="bottom"/>
            <w:shd w:val="clear" w:color="auto" w:fill="E3EAEE"/>
          </w:tcPr>
          <w:p>
            <w:pPr>
              <w:spacing w:after="0"/>
              <w:rPr>
                <w:sz w:val="18"/>
                <w:szCs w:val="18"/>
                <w:color w:val="auto"/>
              </w:rPr>
            </w:pPr>
          </w:p>
        </w:tc>
        <w:tc>
          <w:tcPr>
            <w:tcW w:w="1320" w:type="dxa"/>
            <w:vAlign w:val="bottom"/>
            <w:vMerge w:val="continue"/>
            <w:shd w:val="clear" w:color="auto" w:fill="E3EAEE"/>
          </w:tcPr>
          <w:p>
            <w:pPr>
              <w:spacing w:after="0"/>
              <w:rPr>
                <w:sz w:val="18"/>
                <w:szCs w:val="18"/>
                <w:color w:val="auto"/>
              </w:rPr>
            </w:pPr>
          </w:p>
        </w:tc>
        <w:tc>
          <w:tcPr>
            <w:tcW w:w="2060" w:type="dxa"/>
            <w:vAlign w:val="bottom"/>
            <w:vMerge w:val="continue"/>
            <w:shd w:val="clear" w:color="auto" w:fill="E3EAEE"/>
          </w:tcPr>
          <w:p>
            <w:pPr>
              <w:spacing w:after="0"/>
              <w:rPr>
                <w:sz w:val="18"/>
                <w:szCs w:val="18"/>
                <w:color w:val="auto"/>
              </w:rPr>
            </w:pPr>
          </w:p>
        </w:tc>
        <w:tc>
          <w:tcPr>
            <w:tcW w:w="1340" w:type="dxa"/>
            <w:vAlign w:val="bottom"/>
            <w:vMerge w:val="continue"/>
            <w:shd w:val="clear" w:color="auto" w:fill="E3EAEE"/>
          </w:tcPr>
          <w:p>
            <w:pPr>
              <w:spacing w:after="0"/>
              <w:rPr>
                <w:sz w:val="18"/>
                <w:szCs w:val="18"/>
                <w:color w:val="auto"/>
              </w:rPr>
            </w:pPr>
          </w:p>
        </w:tc>
        <w:tc>
          <w:tcPr>
            <w:tcW w:w="340" w:type="dxa"/>
            <w:vAlign w:val="bottom"/>
            <w:shd w:val="clear" w:color="auto" w:fill="E3EAEE"/>
          </w:tcPr>
          <w:p>
            <w:pPr>
              <w:spacing w:after="0"/>
              <w:rPr>
                <w:sz w:val="18"/>
                <w:szCs w:val="18"/>
                <w:color w:val="auto"/>
              </w:rPr>
            </w:pPr>
          </w:p>
        </w:tc>
        <w:tc>
          <w:tcPr>
            <w:tcW w:w="1240" w:type="dxa"/>
            <w:vAlign w:val="bottom"/>
            <w:vMerge w:val="continue"/>
            <w:shd w:val="clear" w:color="auto" w:fill="E3EAE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80" w:type="dxa"/>
            <w:vAlign w:val="bottom"/>
            <w:tcBorders>
              <w:bottom w:val="single" w:sz="8" w:color="E3EAEE"/>
            </w:tcBorders>
            <w:shd w:val="clear" w:color="auto" w:fill="E3EAEE"/>
          </w:tcPr>
          <w:p>
            <w:pPr>
              <w:spacing w:after="0"/>
              <w:rPr>
                <w:sz w:val="24"/>
                <w:szCs w:val="24"/>
                <w:color w:val="auto"/>
              </w:rPr>
            </w:pPr>
          </w:p>
        </w:tc>
        <w:tc>
          <w:tcPr>
            <w:tcW w:w="900" w:type="dxa"/>
            <w:vAlign w:val="bottom"/>
            <w:tcBorders>
              <w:bottom w:val="single" w:sz="8" w:color="E3EAEE"/>
            </w:tcBorders>
            <w:shd w:val="clear" w:color="auto" w:fill="E3EAEE"/>
          </w:tcPr>
          <w:p>
            <w:pPr>
              <w:ind w:left="280"/>
              <w:spacing w:after="0"/>
              <w:rPr>
                <w:sz w:val="20"/>
                <w:szCs w:val="20"/>
                <w:color w:val="auto"/>
              </w:rPr>
            </w:pPr>
            <w:r>
              <w:rPr>
                <w:rFonts w:ascii="Arial" w:cs="Arial" w:eastAsia="Arial" w:hAnsi="Arial"/>
                <w:sz w:val="16"/>
                <w:szCs w:val="16"/>
                <w:color w:val="3E474E"/>
              </w:rPr>
              <w:t>2023</w:t>
            </w:r>
          </w:p>
        </w:tc>
        <w:tc>
          <w:tcPr>
            <w:tcW w:w="100" w:type="dxa"/>
            <w:vAlign w:val="bottom"/>
            <w:tcBorders>
              <w:bottom w:val="single" w:sz="8" w:color="E3EAEE"/>
            </w:tcBorders>
            <w:shd w:val="clear" w:color="auto" w:fill="E3EAEE"/>
          </w:tcPr>
          <w:p>
            <w:pPr>
              <w:spacing w:after="0"/>
              <w:rPr>
                <w:sz w:val="24"/>
                <w:szCs w:val="24"/>
                <w:color w:val="auto"/>
              </w:rPr>
            </w:pPr>
          </w:p>
        </w:tc>
        <w:tc>
          <w:tcPr>
            <w:tcW w:w="112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498,068</w:t>
            </w:r>
          </w:p>
        </w:tc>
        <w:tc>
          <w:tcPr>
            <w:tcW w:w="340" w:type="dxa"/>
            <w:vAlign w:val="bottom"/>
            <w:tcBorders>
              <w:bottom w:val="single" w:sz="8" w:color="E3EAEE"/>
            </w:tcBorders>
            <w:shd w:val="clear" w:color="auto" w:fill="E3EAEE"/>
          </w:tcPr>
          <w:p>
            <w:pPr>
              <w:spacing w:after="0"/>
              <w:rPr>
                <w:sz w:val="24"/>
                <w:szCs w:val="24"/>
                <w:color w:val="auto"/>
              </w:rPr>
            </w:pPr>
          </w:p>
        </w:tc>
        <w:tc>
          <w:tcPr>
            <w:tcW w:w="1320" w:type="dxa"/>
            <w:vAlign w:val="bottom"/>
            <w:tcBorders>
              <w:bottom w:val="single" w:sz="8" w:color="E3EAEE"/>
            </w:tcBorders>
            <w:shd w:val="clear" w:color="auto" w:fill="E3EAEE"/>
          </w:tcPr>
          <w:p>
            <w:pPr>
              <w:jc w:val="right"/>
              <w:ind w:right="179"/>
              <w:spacing w:after="0"/>
              <w:rPr>
                <w:sz w:val="20"/>
                <w:szCs w:val="20"/>
                <w:color w:val="auto"/>
              </w:rPr>
            </w:pPr>
            <w:r>
              <w:rPr>
                <w:rFonts w:ascii="Arial" w:cs="Arial" w:eastAsia="Arial" w:hAnsi="Arial"/>
                <w:sz w:val="16"/>
                <w:szCs w:val="16"/>
                <w:color w:val="3E474E"/>
              </w:rPr>
              <w:t>540,852</w:t>
            </w:r>
          </w:p>
        </w:tc>
        <w:tc>
          <w:tcPr>
            <w:tcW w:w="2060" w:type="dxa"/>
            <w:vAlign w:val="bottom"/>
            <w:tcBorders>
              <w:bottom w:val="single" w:sz="8" w:color="E3EAEE"/>
            </w:tcBorders>
            <w:shd w:val="clear" w:color="auto" w:fill="E3EAEE"/>
          </w:tcPr>
          <w:p>
            <w:pPr>
              <w:jc w:val="right"/>
              <w:ind w:right="179"/>
              <w:spacing w:after="0"/>
              <w:rPr>
                <w:sz w:val="20"/>
                <w:szCs w:val="20"/>
                <w:color w:val="auto"/>
              </w:rPr>
            </w:pPr>
            <w:r>
              <w:rPr>
                <w:rFonts w:ascii="Arial" w:cs="Arial" w:eastAsia="Arial" w:hAnsi="Arial"/>
                <w:sz w:val="16"/>
                <w:szCs w:val="16"/>
                <w:color w:val="3E474E"/>
              </w:rPr>
              <w:t>225,000</w:t>
            </w:r>
          </w:p>
        </w:tc>
        <w:tc>
          <w:tcPr>
            <w:tcW w:w="134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65,858</w:t>
            </w:r>
          </w:p>
        </w:tc>
        <w:tc>
          <w:tcPr>
            <w:tcW w:w="340" w:type="dxa"/>
            <w:vAlign w:val="bottom"/>
            <w:tcBorders>
              <w:bottom w:val="single" w:sz="8" w:color="E3EAEE"/>
            </w:tcBorders>
            <w:shd w:val="clear" w:color="auto" w:fill="E3EAEE"/>
          </w:tcPr>
          <w:p>
            <w:pPr>
              <w:spacing w:after="0"/>
              <w:rPr>
                <w:sz w:val="24"/>
                <w:szCs w:val="24"/>
                <w:color w:val="auto"/>
              </w:rPr>
            </w:pPr>
          </w:p>
        </w:tc>
        <w:tc>
          <w:tcPr>
            <w:tcW w:w="124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1,329,778</w:t>
            </w:r>
          </w:p>
        </w:tc>
        <w:tc>
          <w:tcPr>
            <w:tcW w:w="0" w:type="dxa"/>
            <w:vAlign w:val="bottom"/>
          </w:tcPr>
          <w:p>
            <w:pPr>
              <w:spacing w:after="0"/>
              <w:rPr>
                <w:sz w:val="1"/>
                <w:szCs w:val="1"/>
                <w:color w:val="auto"/>
              </w:rPr>
            </w:pPr>
          </w:p>
        </w:tc>
      </w:tr>
      <w:tr>
        <w:trPr>
          <w:trHeight w:val="202"/>
        </w:trPr>
        <w:tc>
          <w:tcPr>
            <w:tcW w:w="2080" w:type="dxa"/>
            <w:vAlign w:val="bottom"/>
          </w:tcPr>
          <w:p>
            <w:pPr>
              <w:ind w:left="20"/>
              <w:spacing w:after="0"/>
              <w:rPr>
                <w:sz w:val="20"/>
                <w:szCs w:val="20"/>
                <w:color w:val="auto"/>
              </w:rPr>
            </w:pPr>
            <w:r>
              <w:rPr>
                <w:rFonts w:ascii="Arial" w:cs="Arial" w:eastAsia="Arial" w:hAnsi="Arial"/>
                <w:sz w:val="16"/>
                <w:szCs w:val="16"/>
                <w:color w:val="3E474E"/>
              </w:rPr>
              <w:t>Matthew T. Barnes-Smith</w:t>
            </w:r>
          </w:p>
        </w:tc>
        <w:tc>
          <w:tcPr>
            <w:tcW w:w="900" w:type="dxa"/>
            <w:vAlign w:val="bottom"/>
            <w:vMerge w:val="restart"/>
          </w:tcPr>
          <w:p>
            <w:pPr>
              <w:ind w:left="280"/>
              <w:spacing w:after="0"/>
              <w:rPr>
                <w:sz w:val="20"/>
                <w:szCs w:val="20"/>
                <w:color w:val="auto"/>
              </w:rPr>
            </w:pPr>
            <w:r>
              <w:rPr>
                <w:rFonts w:ascii="Arial" w:cs="Arial" w:eastAsia="Arial" w:hAnsi="Arial"/>
                <w:sz w:val="16"/>
                <w:szCs w:val="16"/>
                <w:color w:val="3E474E"/>
              </w:rPr>
              <w:t>2025</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3E474E"/>
              </w:rPr>
              <w:t>419,713</w:t>
            </w:r>
          </w:p>
        </w:tc>
        <w:tc>
          <w:tcPr>
            <w:tcW w:w="340" w:type="dxa"/>
            <w:vAlign w:val="bottom"/>
          </w:tcPr>
          <w:p>
            <w:pPr>
              <w:spacing w:after="0"/>
              <w:rPr>
                <w:sz w:val="17"/>
                <w:szCs w:val="17"/>
                <w:color w:val="auto"/>
              </w:rPr>
            </w:pPr>
          </w:p>
        </w:tc>
        <w:tc>
          <w:tcPr>
            <w:tcW w:w="1320" w:type="dxa"/>
            <w:vAlign w:val="bottom"/>
            <w:vMerge w:val="restart"/>
          </w:tcPr>
          <w:p>
            <w:pPr>
              <w:jc w:val="right"/>
              <w:ind w:right="179"/>
              <w:spacing w:after="0"/>
              <w:rPr>
                <w:sz w:val="20"/>
                <w:szCs w:val="20"/>
                <w:color w:val="auto"/>
              </w:rPr>
            </w:pPr>
            <w:r>
              <w:rPr>
                <w:rFonts w:ascii="Arial" w:cs="Arial" w:eastAsia="Arial" w:hAnsi="Arial"/>
                <w:sz w:val="16"/>
                <w:szCs w:val="16"/>
                <w:color w:val="3E474E"/>
              </w:rPr>
              <w:t>1,780,995</w:t>
            </w:r>
          </w:p>
        </w:tc>
        <w:tc>
          <w:tcPr>
            <w:tcW w:w="2060" w:type="dxa"/>
            <w:vAlign w:val="bottom"/>
            <w:vMerge w:val="restart"/>
          </w:tcPr>
          <w:p>
            <w:pPr>
              <w:jc w:val="right"/>
              <w:ind w:right="179"/>
              <w:spacing w:after="0"/>
              <w:rPr>
                <w:sz w:val="20"/>
                <w:szCs w:val="20"/>
                <w:color w:val="auto"/>
              </w:rPr>
            </w:pPr>
            <w:r>
              <w:rPr>
                <w:rFonts w:ascii="Arial" w:cs="Arial" w:eastAsia="Arial" w:hAnsi="Arial"/>
                <w:sz w:val="16"/>
                <w:szCs w:val="16"/>
                <w:color w:val="3E474E"/>
              </w:rPr>
              <w:t>354,000</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3E474E"/>
              </w:rPr>
              <w:t>40,451</w:t>
            </w:r>
          </w:p>
        </w:tc>
        <w:tc>
          <w:tcPr>
            <w:tcW w:w="340" w:type="dxa"/>
            <w:vAlign w:val="bottom"/>
          </w:tcPr>
          <w:p>
            <w:pPr>
              <w:jc w:val="right"/>
              <w:ind w:right="153"/>
              <w:spacing w:after="0"/>
              <w:rPr>
                <w:sz w:val="20"/>
                <w:szCs w:val="20"/>
                <w:color w:val="auto"/>
              </w:rPr>
            </w:pPr>
            <w:r>
              <w:rPr>
                <w:rFonts w:ascii="Arial" w:cs="Arial" w:eastAsia="Arial" w:hAnsi="Arial"/>
                <w:sz w:val="9"/>
                <w:szCs w:val="9"/>
                <w:color w:val="3E474E"/>
              </w:rPr>
              <w:t>(3)</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3E474E"/>
              </w:rPr>
              <w:t>2,595,159</w:t>
            </w:r>
          </w:p>
        </w:tc>
        <w:tc>
          <w:tcPr>
            <w:tcW w:w="0" w:type="dxa"/>
            <w:vAlign w:val="bottom"/>
          </w:tcPr>
          <w:p>
            <w:pPr>
              <w:spacing w:after="0"/>
              <w:rPr>
                <w:sz w:val="1"/>
                <w:szCs w:val="1"/>
                <w:color w:val="auto"/>
              </w:rPr>
            </w:pPr>
          </w:p>
        </w:tc>
      </w:tr>
      <w:tr>
        <w:trPr>
          <w:trHeight w:val="93"/>
        </w:trPr>
        <w:tc>
          <w:tcPr>
            <w:tcW w:w="2080" w:type="dxa"/>
            <w:vAlign w:val="bottom"/>
            <w:vMerge w:val="restart"/>
          </w:tcPr>
          <w:p>
            <w:pPr>
              <w:ind w:left="20"/>
              <w:spacing w:after="0"/>
              <w:rPr>
                <w:sz w:val="20"/>
                <w:szCs w:val="20"/>
                <w:color w:val="auto"/>
              </w:rPr>
            </w:pPr>
            <w:r>
              <w:rPr>
                <w:rFonts w:ascii="Arial" w:cs="Arial" w:eastAsia="Arial" w:hAnsi="Arial"/>
                <w:sz w:val="16"/>
                <w:szCs w:val="16"/>
                <w:color w:val="3E474E"/>
              </w:rPr>
              <w:t>Chief Financial Officer and</w:t>
            </w:r>
          </w:p>
        </w:tc>
        <w:tc>
          <w:tcPr>
            <w:tcW w:w="90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3E474E"/>
              </w:rPr>
              <w:t>Treasurer</w:t>
            </w:r>
          </w:p>
        </w:tc>
        <w:tc>
          <w:tcPr>
            <w:tcW w:w="900" w:type="dxa"/>
            <w:vAlign w:val="bottom"/>
            <w:vMerge w:val="restart"/>
          </w:tcPr>
          <w:p>
            <w:pPr>
              <w:ind w:left="280"/>
              <w:spacing w:after="0"/>
              <w:rPr>
                <w:sz w:val="20"/>
                <w:szCs w:val="20"/>
                <w:color w:val="auto"/>
              </w:rPr>
            </w:pPr>
            <w:r>
              <w:rPr>
                <w:rFonts w:ascii="Arial" w:cs="Arial" w:eastAsia="Arial" w:hAnsi="Arial"/>
                <w:sz w:val="16"/>
                <w:szCs w:val="16"/>
                <w:color w:val="3E474E"/>
              </w:rPr>
              <w:t>2024</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3E474E"/>
              </w:rPr>
              <w:t>392,838</w:t>
            </w:r>
          </w:p>
        </w:tc>
        <w:tc>
          <w:tcPr>
            <w:tcW w:w="340" w:type="dxa"/>
            <w:vAlign w:val="bottom"/>
          </w:tcPr>
          <w:p>
            <w:pPr>
              <w:spacing w:after="0"/>
              <w:rPr>
                <w:sz w:val="18"/>
                <w:szCs w:val="18"/>
                <w:color w:val="auto"/>
              </w:rPr>
            </w:pPr>
          </w:p>
        </w:tc>
        <w:tc>
          <w:tcPr>
            <w:tcW w:w="1320" w:type="dxa"/>
            <w:vAlign w:val="bottom"/>
            <w:vMerge w:val="restart"/>
          </w:tcPr>
          <w:p>
            <w:pPr>
              <w:jc w:val="right"/>
              <w:ind w:right="179"/>
              <w:spacing w:after="0"/>
              <w:rPr>
                <w:sz w:val="20"/>
                <w:szCs w:val="20"/>
                <w:color w:val="auto"/>
              </w:rPr>
            </w:pPr>
            <w:r>
              <w:rPr>
                <w:rFonts w:ascii="Arial" w:cs="Arial" w:eastAsia="Arial" w:hAnsi="Arial"/>
                <w:sz w:val="16"/>
                <w:szCs w:val="16"/>
                <w:color w:val="3E474E"/>
              </w:rPr>
              <w:t>251,749</w:t>
            </w:r>
          </w:p>
        </w:tc>
        <w:tc>
          <w:tcPr>
            <w:tcW w:w="2060" w:type="dxa"/>
            <w:vAlign w:val="bottom"/>
            <w:vMerge w:val="restart"/>
          </w:tcPr>
          <w:p>
            <w:pPr>
              <w:jc w:val="right"/>
              <w:ind w:right="179"/>
              <w:spacing w:after="0"/>
              <w:rPr>
                <w:sz w:val="20"/>
                <w:szCs w:val="20"/>
                <w:color w:val="auto"/>
              </w:rPr>
            </w:pPr>
            <w:r>
              <w:rPr>
                <w:rFonts w:ascii="Arial" w:cs="Arial" w:eastAsia="Arial" w:hAnsi="Arial"/>
                <w:sz w:val="16"/>
                <w:szCs w:val="16"/>
                <w:color w:val="3E474E"/>
              </w:rPr>
              <w:t>236,250</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3E474E"/>
              </w:rPr>
              <w:t>42,896</w:t>
            </w:r>
          </w:p>
        </w:tc>
        <w:tc>
          <w:tcPr>
            <w:tcW w:w="3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3E474E"/>
              </w:rPr>
              <w:t>923,733</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206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208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6"/>
                <w:szCs w:val="16"/>
                <w:color w:val="3E474E"/>
              </w:rPr>
              <w:t>2023</w:t>
            </w:r>
          </w:p>
        </w:tc>
        <w:tc>
          <w:tcPr>
            <w:tcW w:w="1220" w:type="dxa"/>
            <w:vAlign w:val="bottom"/>
            <w:gridSpan w:val="2"/>
          </w:tcPr>
          <w:p>
            <w:pPr>
              <w:jc w:val="right"/>
              <w:spacing w:after="0"/>
              <w:rPr>
                <w:sz w:val="20"/>
                <w:szCs w:val="20"/>
                <w:color w:val="auto"/>
              </w:rPr>
            </w:pPr>
            <w:r>
              <w:rPr>
                <w:rFonts w:ascii="Arial" w:cs="Arial" w:eastAsia="Arial" w:hAnsi="Arial"/>
                <w:sz w:val="16"/>
                <w:szCs w:val="16"/>
                <w:color w:val="3E474E"/>
              </w:rPr>
              <w:t>348,078</w:t>
            </w:r>
          </w:p>
        </w:tc>
        <w:tc>
          <w:tcPr>
            <w:tcW w:w="340" w:type="dxa"/>
            <w:vAlign w:val="bottom"/>
          </w:tcPr>
          <w:p>
            <w:pPr>
              <w:spacing w:after="0"/>
              <w:rPr>
                <w:sz w:val="24"/>
                <w:szCs w:val="24"/>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3E474E"/>
              </w:rPr>
              <w:t>135,216</w:t>
            </w:r>
          </w:p>
        </w:tc>
        <w:tc>
          <w:tcPr>
            <w:tcW w:w="2060" w:type="dxa"/>
            <w:vAlign w:val="bottom"/>
          </w:tcPr>
          <w:p>
            <w:pPr>
              <w:jc w:val="right"/>
              <w:ind w:right="179"/>
              <w:spacing w:after="0"/>
              <w:rPr>
                <w:sz w:val="20"/>
                <w:szCs w:val="20"/>
                <w:color w:val="auto"/>
              </w:rPr>
            </w:pPr>
            <w:r>
              <w:rPr>
                <w:rFonts w:ascii="Arial" w:cs="Arial" w:eastAsia="Arial" w:hAnsi="Arial"/>
                <w:sz w:val="16"/>
                <w:szCs w:val="16"/>
                <w:color w:val="3E474E"/>
              </w:rPr>
              <w:t>125,000</w:t>
            </w:r>
          </w:p>
        </w:tc>
        <w:tc>
          <w:tcPr>
            <w:tcW w:w="1340" w:type="dxa"/>
            <w:vAlign w:val="bottom"/>
          </w:tcPr>
          <w:p>
            <w:pPr>
              <w:jc w:val="right"/>
              <w:spacing w:after="0"/>
              <w:rPr>
                <w:sz w:val="20"/>
                <w:szCs w:val="20"/>
                <w:color w:val="auto"/>
              </w:rPr>
            </w:pPr>
            <w:r>
              <w:rPr>
                <w:rFonts w:ascii="Arial" w:cs="Arial" w:eastAsia="Arial" w:hAnsi="Arial"/>
                <w:sz w:val="16"/>
                <w:szCs w:val="16"/>
                <w:color w:val="3E474E"/>
              </w:rPr>
              <w:t>39,453</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3E474E"/>
              </w:rPr>
              <w:t>647,747</w:t>
            </w:r>
          </w:p>
        </w:tc>
        <w:tc>
          <w:tcPr>
            <w:tcW w:w="0" w:type="dxa"/>
            <w:vAlign w:val="bottom"/>
          </w:tcPr>
          <w:p>
            <w:pPr>
              <w:spacing w:after="0"/>
              <w:rPr>
                <w:sz w:val="1"/>
                <w:szCs w:val="1"/>
                <w:color w:val="auto"/>
              </w:rPr>
            </w:pPr>
          </w:p>
        </w:tc>
      </w:tr>
      <w:tr>
        <w:trPr>
          <w:trHeight w:val="83"/>
        </w:trPr>
        <w:tc>
          <w:tcPr>
            <w:tcW w:w="2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3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Eric E. Apperson</w:t>
            </w:r>
          </w:p>
        </w:tc>
        <w:tc>
          <w:tcPr>
            <w:tcW w:w="900" w:type="dxa"/>
            <w:vAlign w:val="bottom"/>
            <w:shd w:val="clear" w:color="auto" w:fill="E3EAEE"/>
          </w:tcPr>
          <w:p>
            <w:pPr>
              <w:ind w:left="280"/>
              <w:spacing w:after="0"/>
              <w:rPr>
                <w:sz w:val="20"/>
                <w:szCs w:val="20"/>
                <w:color w:val="auto"/>
              </w:rPr>
            </w:pPr>
            <w:r>
              <w:rPr>
                <w:rFonts w:ascii="Arial" w:cs="Arial" w:eastAsia="Arial" w:hAnsi="Arial"/>
                <w:sz w:val="16"/>
                <w:szCs w:val="16"/>
                <w:color w:val="3E474E"/>
              </w:rPr>
              <w:t>2025</w:t>
            </w:r>
          </w:p>
        </w:tc>
        <w:tc>
          <w:tcPr>
            <w:tcW w:w="1220" w:type="dxa"/>
            <w:vAlign w:val="bottom"/>
            <w:gridSpan w:val="2"/>
            <w:shd w:val="clear" w:color="auto" w:fill="E3EAEE"/>
          </w:tcPr>
          <w:p>
            <w:pPr>
              <w:jc w:val="right"/>
              <w:spacing w:after="0"/>
              <w:rPr>
                <w:sz w:val="20"/>
                <w:szCs w:val="20"/>
                <w:color w:val="auto"/>
              </w:rPr>
            </w:pPr>
            <w:r>
              <w:rPr>
                <w:rFonts w:ascii="Arial" w:cs="Arial" w:eastAsia="Arial" w:hAnsi="Arial"/>
                <w:sz w:val="16"/>
                <w:szCs w:val="16"/>
                <w:color w:val="3E474E"/>
              </w:rPr>
              <w:t>187,557</w:t>
            </w:r>
          </w:p>
        </w:tc>
        <w:tc>
          <w:tcPr>
            <w:tcW w:w="340" w:type="dxa"/>
            <w:vAlign w:val="bottom"/>
            <w:shd w:val="clear" w:color="auto" w:fill="E3EAEE"/>
          </w:tcPr>
          <w:p>
            <w:pPr>
              <w:spacing w:after="0"/>
              <w:rPr>
                <w:sz w:val="18"/>
                <w:szCs w:val="18"/>
                <w:color w:val="auto"/>
              </w:rPr>
            </w:pPr>
          </w:p>
        </w:tc>
        <w:tc>
          <w:tcPr>
            <w:tcW w:w="1320" w:type="dxa"/>
            <w:vAlign w:val="bottom"/>
            <w:shd w:val="clear" w:color="auto" w:fill="E3EAEE"/>
          </w:tcPr>
          <w:p>
            <w:pPr>
              <w:jc w:val="right"/>
              <w:ind w:right="179"/>
              <w:spacing w:after="0"/>
              <w:rPr>
                <w:sz w:val="20"/>
                <w:szCs w:val="20"/>
                <w:color w:val="auto"/>
              </w:rPr>
            </w:pPr>
            <w:r>
              <w:rPr>
                <w:rFonts w:ascii="Arial" w:cs="Arial" w:eastAsia="Arial" w:hAnsi="Arial"/>
                <w:sz w:val="16"/>
                <w:szCs w:val="16"/>
                <w:color w:val="3E474E"/>
              </w:rPr>
              <w:t>320,382</w:t>
            </w:r>
          </w:p>
        </w:tc>
        <w:tc>
          <w:tcPr>
            <w:tcW w:w="2060" w:type="dxa"/>
            <w:vAlign w:val="bottom"/>
            <w:shd w:val="clear" w:color="auto" w:fill="E3EAEE"/>
          </w:tcPr>
          <w:p>
            <w:pPr>
              <w:jc w:val="right"/>
              <w:ind w:right="179"/>
              <w:spacing w:after="0"/>
              <w:rPr>
                <w:sz w:val="20"/>
                <w:szCs w:val="20"/>
                <w:color w:val="auto"/>
              </w:rPr>
            </w:pPr>
            <w:r>
              <w:rPr>
                <w:rFonts w:ascii="Arial" w:cs="Arial" w:eastAsia="Arial" w:hAnsi="Arial"/>
                <w:sz w:val="16"/>
                <w:szCs w:val="16"/>
                <w:color w:val="3E474E"/>
              </w:rPr>
              <w:t>—</w:t>
            </w:r>
          </w:p>
        </w:tc>
        <w:tc>
          <w:tcPr>
            <w:tcW w:w="134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1,349,788</w:t>
            </w:r>
          </w:p>
        </w:tc>
        <w:tc>
          <w:tcPr>
            <w:tcW w:w="340" w:type="dxa"/>
            <w:vAlign w:val="bottom"/>
            <w:shd w:val="clear" w:color="auto" w:fill="E3EAEE"/>
          </w:tcPr>
          <w:p>
            <w:pPr>
              <w:jc w:val="right"/>
              <w:ind w:right="153"/>
              <w:spacing w:after="0"/>
              <w:rPr>
                <w:sz w:val="20"/>
                <w:szCs w:val="20"/>
                <w:color w:val="auto"/>
              </w:rPr>
            </w:pPr>
            <w:r>
              <w:rPr>
                <w:rFonts w:ascii="Arial" w:cs="Arial" w:eastAsia="Arial" w:hAnsi="Arial"/>
                <w:sz w:val="9"/>
                <w:szCs w:val="9"/>
                <w:color w:val="3E474E"/>
              </w:rPr>
              <w:t>(4)</w:t>
            </w:r>
          </w:p>
        </w:tc>
        <w:tc>
          <w:tcPr>
            <w:tcW w:w="124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1,857,727</w:t>
            </w:r>
          </w:p>
        </w:tc>
        <w:tc>
          <w:tcPr>
            <w:tcW w:w="0" w:type="dxa"/>
            <w:vAlign w:val="bottom"/>
          </w:tcPr>
          <w:p>
            <w:pPr>
              <w:spacing w:after="0"/>
              <w:rPr>
                <w:sz w:val="1"/>
                <w:szCs w:val="1"/>
                <w:color w:val="auto"/>
              </w:rPr>
            </w:pPr>
          </w:p>
        </w:tc>
      </w:tr>
      <w:tr>
        <w:trPr>
          <w:trHeight w:val="282"/>
        </w:trPr>
        <w:tc>
          <w:tcPr>
            <w:tcW w:w="208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President of Construction</w:t>
            </w:r>
            <w:r>
              <w:rPr>
                <w:rFonts w:ascii="Arial" w:cs="Arial" w:eastAsia="Arial" w:hAnsi="Arial"/>
                <w:sz w:val="21"/>
                <w:szCs w:val="21"/>
                <w:color w:val="3E474E"/>
                <w:vertAlign w:val="superscript"/>
              </w:rPr>
              <w:t>(5)</w:t>
            </w:r>
          </w:p>
        </w:tc>
        <w:tc>
          <w:tcPr>
            <w:tcW w:w="900" w:type="dxa"/>
            <w:vAlign w:val="bottom"/>
            <w:vMerge w:val="restart"/>
            <w:shd w:val="clear" w:color="auto" w:fill="E3EAEE"/>
          </w:tcPr>
          <w:p>
            <w:pPr>
              <w:ind w:left="280"/>
              <w:spacing w:after="0"/>
              <w:rPr>
                <w:sz w:val="20"/>
                <w:szCs w:val="20"/>
                <w:color w:val="auto"/>
              </w:rPr>
            </w:pPr>
            <w:r>
              <w:rPr>
                <w:rFonts w:ascii="Arial" w:cs="Arial" w:eastAsia="Arial" w:hAnsi="Arial"/>
                <w:sz w:val="16"/>
                <w:szCs w:val="16"/>
                <w:color w:val="3E474E"/>
              </w:rPr>
              <w:t>2024</w:t>
            </w:r>
          </w:p>
        </w:tc>
        <w:tc>
          <w:tcPr>
            <w:tcW w:w="100" w:type="dxa"/>
            <w:vAlign w:val="bottom"/>
            <w:shd w:val="clear" w:color="auto" w:fill="E3EAEE"/>
          </w:tcPr>
          <w:p>
            <w:pPr>
              <w:spacing w:after="0"/>
              <w:rPr>
                <w:sz w:val="24"/>
                <w:szCs w:val="24"/>
                <w:color w:val="auto"/>
              </w:rPr>
            </w:pPr>
          </w:p>
        </w:tc>
        <w:tc>
          <w:tcPr>
            <w:tcW w:w="1120" w:type="dxa"/>
            <w:vAlign w:val="bottom"/>
            <w:vMerge w:val="restart"/>
            <w:shd w:val="clear" w:color="auto" w:fill="E3EAEE"/>
          </w:tcPr>
          <w:p>
            <w:pPr>
              <w:jc w:val="right"/>
              <w:spacing w:after="0"/>
              <w:rPr>
                <w:sz w:val="20"/>
                <w:szCs w:val="20"/>
                <w:color w:val="auto"/>
              </w:rPr>
            </w:pPr>
            <w:r>
              <w:rPr>
                <w:rFonts w:ascii="Arial" w:cs="Arial" w:eastAsia="Arial" w:hAnsi="Arial"/>
                <w:sz w:val="16"/>
                <w:szCs w:val="16"/>
                <w:color w:val="3E474E"/>
              </w:rPr>
              <w:t>422,506</w:t>
            </w:r>
          </w:p>
        </w:tc>
        <w:tc>
          <w:tcPr>
            <w:tcW w:w="340" w:type="dxa"/>
            <w:vAlign w:val="bottom"/>
            <w:shd w:val="clear" w:color="auto" w:fill="E3EAEE"/>
          </w:tcPr>
          <w:p>
            <w:pPr>
              <w:spacing w:after="0"/>
              <w:rPr>
                <w:sz w:val="24"/>
                <w:szCs w:val="24"/>
                <w:color w:val="auto"/>
              </w:rPr>
            </w:pPr>
          </w:p>
        </w:tc>
        <w:tc>
          <w:tcPr>
            <w:tcW w:w="1320" w:type="dxa"/>
            <w:vAlign w:val="bottom"/>
            <w:vMerge w:val="restart"/>
            <w:shd w:val="clear" w:color="auto" w:fill="E3EAEE"/>
          </w:tcPr>
          <w:p>
            <w:pPr>
              <w:jc w:val="right"/>
              <w:ind w:right="179"/>
              <w:spacing w:after="0"/>
              <w:rPr>
                <w:sz w:val="20"/>
                <w:szCs w:val="20"/>
                <w:color w:val="auto"/>
              </w:rPr>
            </w:pPr>
            <w:r>
              <w:rPr>
                <w:rFonts w:ascii="Arial" w:cs="Arial" w:eastAsia="Arial" w:hAnsi="Arial"/>
                <w:sz w:val="16"/>
                <w:szCs w:val="16"/>
                <w:color w:val="3E474E"/>
              </w:rPr>
              <w:t>297,529</w:t>
            </w:r>
          </w:p>
        </w:tc>
        <w:tc>
          <w:tcPr>
            <w:tcW w:w="2060" w:type="dxa"/>
            <w:vAlign w:val="bottom"/>
            <w:vMerge w:val="restart"/>
            <w:shd w:val="clear" w:color="auto" w:fill="E3EAEE"/>
          </w:tcPr>
          <w:p>
            <w:pPr>
              <w:jc w:val="right"/>
              <w:ind w:right="179"/>
              <w:spacing w:after="0"/>
              <w:rPr>
                <w:sz w:val="20"/>
                <w:szCs w:val="20"/>
                <w:color w:val="auto"/>
              </w:rPr>
            </w:pPr>
            <w:r>
              <w:rPr>
                <w:rFonts w:ascii="Arial" w:cs="Arial" w:eastAsia="Arial" w:hAnsi="Arial"/>
                <w:sz w:val="16"/>
                <w:szCs w:val="16"/>
                <w:color w:val="3E474E"/>
              </w:rPr>
              <w:t>209,250</w:t>
            </w:r>
          </w:p>
        </w:tc>
        <w:tc>
          <w:tcPr>
            <w:tcW w:w="1340" w:type="dxa"/>
            <w:vAlign w:val="bottom"/>
            <w:vMerge w:val="restart"/>
            <w:shd w:val="clear" w:color="auto" w:fill="E3EAEE"/>
          </w:tcPr>
          <w:p>
            <w:pPr>
              <w:jc w:val="right"/>
              <w:spacing w:after="0"/>
              <w:rPr>
                <w:sz w:val="20"/>
                <w:szCs w:val="20"/>
                <w:color w:val="auto"/>
              </w:rPr>
            </w:pPr>
            <w:r>
              <w:rPr>
                <w:rFonts w:ascii="Arial" w:cs="Arial" w:eastAsia="Arial" w:hAnsi="Arial"/>
                <w:sz w:val="16"/>
                <w:szCs w:val="16"/>
                <w:color w:val="3E474E"/>
              </w:rPr>
              <w:t>57,292</w:t>
            </w:r>
          </w:p>
        </w:tc>
        <w:tc>
          <w:tcPr>
            <w:tcW w:w="340" w:type="dxa"/>
            <w:vAlign w:val="bottom"/>
            <w:shd w:val="clear" w:color="auto" w:fill="E3EAEE"/>
          </w:tcPr>
          <w:p>
            <w:pPr>
              <w:spacing w:after="0"/>
              <w:rPr>
                <w:sz w:val="24"/>
                <w:szCs w:val="24"/>
                <w:color w:val="auto"/>
              </w:rPr>
            </w:pPr>
          </w:p>
        </w:tc>
        <w:tc>
          <w:tcPr>
            <w:tcW w:w="1240" w:type="dxa"/>
            <w:vAlign w:val="bottom"/>
            <w:vMerge w:val="restart"/>
            <w:shd w:val="clear" w:color="auto" w:fill="E3EAEE"/>
          </w:tcPr>
          <w:p>
            <w:pPr>
              <w:jc w:val="right"/>
              <w:spacing w:after="0"/>
              <w:rPr>
                <w:sz w:val="20"/>
                <w:szCs w:val="20"/>
                <w:color w:val="auto"/>
              </w:rPr>
            </w:pPr>
            <w:r>
              <w:rPr>
                <w:rFonts w:ascii="Arial" w:cs="Arial" w:eastAsia="Arial" w:hAnsi="Arial"/>
                <w:sz w:val="16"/>
                <w:szCs w:val="16"/>
                <w:color w:val="3E474E"/>
              </w:rPr>
              <w:t>986,577</w:t>
            </w:r>
          </w:p>
        </w:tc>
        <w:tc>
          <w:tcPr>
            <w:tcW w:w="0" w:type="dxa"/>
            <w:vAlign w:val="bottom"/>
          </w:tcPr>
          <w:p>
            <w:pPr>
              <w:spacing w:after="0"/>
              <w:rPr>
                <w:sz w:val="1"/>
                <w:szCs w:val="1"/>
                <w:color w:val="auto"/>
              </w:rPr>
            </w:pPr>
          </w:p>
        </w:tc>
      </w:tr>
      <w:tr>
        <w:trPr>
          <w:trHeight w:val="94"/>
        </w:trPr>
        <w:tc>
          <w:tcPr>
            <w:tcW w:w="2080" w:type="dxa"/>
            <w:vAlign w:val="bottom"/>
            <w:shd w:val="clear" w:color="auto" w:fill="E3EAEE"/>
          </w:tcPr>
          <w:p>
            <w:pPr>
              <w:spacing w:after="0"/>
              <w:rPr>
                <w:sz w:val="8"/>
                <w:szCs w:val="8"/>
                <w:color w:val="auto"/>
              </w:rPr>
            </w:pPr>
          </w:p>
        </w:tc>
        <w:tc>
          <w:tcPr>
            <w:tcW w:w="900" w:type="dxa"/>
            <w:vAlign w:val="bottom"/>
            <w:vMerge w:val="continue"/>
            <w:shd w:val="clear" w:color="auto" w:fill="E3EAEE"/>
          </w:tcPr>
          <w:p>
            <w:pPr>
              <w:spacing w:after="0"/>
              <w:rPr>
                <w:sz w:val="8"/>
                <w:szCs w:val="8"/>
                <w:color w:val="auto"/>
              </w:rPr>
            </w:pPr>
          </w:p>
        </w:tc>
        <w:tc>
          <w:tcPr>
            <w:tcW w:w="100" w:type="dxa"/>
            <w:vAlign w:val="bottom"/>
            <w:shd w:val="clear" w:color="auto" w:fill="E3EAEE"/>
          </w:tcPr>
          <w:p>
            <w:pPr>
              <w:spacing w:after="0"/>
              <w:rPr>
                <w:sz w:val="8"/>
                <w:szCs w:val="8"/>
                <w:color w:val="auto"/>
              </w:rPr>
            </w:pPr>
          </w:p>
        </w:tc>
        <w:tc>
          <w:tcPr>
            <w:tcW w:w="1120" w:type="dxa"/>
            <w:vAlign w:val="bottom"/>
            <w:vMerge w:val="continue"/>
            <w:shd w:val="clear" w:color="auto" w:fill="E3EAEE"/>
          </w:tcPr>
          <w:p>
            <w:pPr>
              <w:spacing w:after="0"/>
              <w:rPr>
                <w:sz w:val="8"/>
                <w:szCs w:val="8"/>
                <w:color w:val="auto"/>
              </w:rPr>
            </w:pPr>
          </w:p>
        </w:tc>
        <w:tc>
          <w:tcPr>
            <w:tcW w:w="340" w:type="dxa"/>
            <w:vAlign w:val="bottom"/>
            <w:shd w:val="clear" w:color="auto" w:fill="E3EAEE"/>
          </w:tcPr>
          <w:p>
            <w:pPr>
              <w:spacing w:after="0"/>
              <w:rPr>
                <w:sz w:val="8"/>
                <w:szCs w:val="8"/>
                <w:color w:val="auto"/>
              </w:rPr>
            </w:pPr>
          </w:p>
        </w:tc>
        <w:tc>
          <w:tcPr>
            <w:tcW w:w="1320" w:type="dxa"/>
            <w:vAlign w:val="bottom"/>
            <w:vMerge w:val="continue"/>
            <w:shd w:val="clear" w:color="auto" w:fill="E3EAEE"/>
          </w:tcPr>
          <w:p>
            <w:pPr>
              <w:spacing w:after="0"/>
              <w:rPr>
                <w:sz w:val="8"/>
                <w:szCs w:val="8"/>
                <w:color w:val="auto"/>
              </w:rPr>
            </w:pPr>
          </w:p>
        </w:tc>
        <w:tc>
          <w:tcPr>
            <w:tcW w:w="2060" w:type="dxa"/>
            <w:vAlign w:val="bottom"/>
            <w:vMerge w:val="continue"/>
            <w:shd w:val="clear" w:color="auto" w:fill="E3EAEE"/>
          </w:tcPr>
          <w:p>
            <w:pPr>
              <w:spacing w:after="0"/>
              <w:rPr>
                <w:sz w:val="8"/>
                <w:szCs w:val="8"/>
                <w:color w:val="auto"/>
              </w:rPr>
            </w:pPr>
          </w:p>
        </w:tc>
        <w:tc>
          <w:tcPr>
            <w:tcW w:w="1340" w:type="dxa"/>
            <w:vAlign w:val="bottom"/>
            <w:vMerge w:val="continue"/>
            <w:shd w:val="clear" w:color="auto" w:fill="E3EAEE"/>
          </w:tcPr>
          <w:p>
            <w:pPr>
              <w:spacing w:after="0"/>
              <w:rPr>
                <w:sz w:val="8"/>
                <w:szCs w:val="8"/>
                <w:color w:val="auto"/>
              </w:rPr>
            </w:pPr>
          </w:p>
        </w:tc>
        <w:tc>
          <w:tcPr>
            <w:tcW w:w="340" w:type="dxa"/>
            <w:vAlign w:val="bottom"/>
            <w:shd w:val="clear" w:color="auto" w:fill="E3EAEE"/>
          </w:tcPr>
          <w:p>
            <w:pPr>
              <w:spacing w:after="0"/>
              <w:rPr>
                <w:sz w:val="8"/>
                <w:szCs w:val="8"/>
                <w:color w:val="auto"/>
              </w:rPr>
            </w:pPr>
          </w:p>
        </w:tc>
        <w:tc>
          <w:tcPr>
            <w:tcW w:w="1240" w:type="dxa"/>
            <w:vAlign w:val="bottom"/>
            <w:vMerge w:val="continue"/>
            <w:shd w:val="clear" w:color="auto" w:fill="E3EAE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080" w:type="dxa"/>
            <w:vAlign w:val="bottom"/>
            <w:shd w:val="clear" w:color="auto" w:fill="E3EAEE"/>
          </w:tcPr>
          <w:p>
            <w:pPr>
              <w:spacing w:after="0"/>
              <w:rPr>
                <w:sz w:val="24"/>
                <w:szCs w:val="24"/>
                <w:color w:val="auto"/>
              </w:rPr>
            </w:pPr>
          </w:p>
        </w:tc>
        <w:tc>
          <w:tcPr>
            <w:tcW w:w="900" w:type="dxa"/>
            <w:vAlign w:val="bottom"/>
            <w:shd w:val="clear" w:color="auto" w:fill="E3EAEE"/>
          </w:tcPr>
          <w:p>
            <w:pPr>
              <w:ind w:left="280"/>
              <w:spacing w:after="0"/>
              <w:rPr>
                <w:sz w:val="20"/>
                <w:szCs w:val="20"/>
                <w:color w:val="auto"/>
              </w:rPr>
            </w:pPr>
            <w:r>
              <w:rPr>
                <w:rFonts w:ascii="Arial" w:cs="Arial" w:eastAsia="Arial" w:hAnsi="Arial"/>
                <w:sz w:val="16"/>
                <w:szCs w:val="16"/>
                <w:color w:val="3E474E"/>
              </w:rPr>
              <w:t>2023</w:t>
            </w:r>
          </w:p>
        </w:tc>
        <w:tc>
          <w:tcPr>
            <w:tcW w:w="100" w:type="dxa"/>
            <w:vAlign w:val="bottom"/>
            <w:shd w:val="clear" w:color="auto" w:fill="E3EAEE"/>
          </w:tcPr>
          <w:p>
            <w:pPr>
              <w:spacing w:after="0"/>
              <w:rPr>
                <w:sz w:val="24"/>
                <w:szCs w:val="24"/>
                <w:color w:val="auto"/>
              </w:rPr>
            </w:pPr>
          </w:p>
        </w:tc>
        <w:tc>
          <w:tcPr>
            <w:tcW w:w="112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411,545</w:t>
            </w:r>
          </w:p>
        </w:tc>
        <w:tc>
          <w:tcPr>
            <w:tcW w:w="340" w:type="dxa"/>
            <w:vAlign w:val="bottom"/>
            <w:shd w:val="clear" w:color="auto" w:fill="E3EAEE"/>
          </w:tcPr>
          <w:p>
            <w:pPr>
              <w:spacing w:after="0"/>
              <w:rPr>
                <w:sz w:val="24"/>
                <w:szCs w:val="24"/>
                <w:color w:val="auto"/>
              </w:rPr>
            </w:pPr>
          </w:p>
        </w:tc>
        <w:tc>
          <w:tcPr>
            <w:tcW w:w="1320" w:type="dxa"/>
            <w:vAlign w:val="bottom"/>
            <w:shd w:val="clear" w:color="auto" w:fill="E3EAEE"/>
          </w:tcPr>
          <w:p>
            <w:pPr>
              <w:jc w:val="right"/>
              <w:ind w:right="179"/>
              <w:spacing w:after="0"/>
              <w:rPr>
                <w:sz w:val="20"/>
                <w:szCs w:val="20"/>
                <w:color w:val="auto"/>
              </w:rPr>
            </w:pPr>
            <w:r>
              <w:rPr>
                <w:rFonts w:ascii="Arial" w:cs="Arial" w:eastAsia="Arial" w:hAnsi="Arial"/>
                <w:sz w:val="16"/>
                <w:szCs w:val="16"/>
                <w:color w:val="3E474E"/>
              </w:rPr>
              <w:t>270,432</w:t>
            </w:r>
          </w:p>
        </w:tc>
        <w:tc>
          <w:tcPr>
            <w:tcW w:w="2060" w:type="dxa"/>
            <w:vAlign w:val="bottom"/>
            <w:shd w:val="clear" w:color="auto" w:fill="E3EAEE"/>
          </w:tcPr>
          <w:p>
            <w:pPr>
              <w:jc w:val="right"/>
              <w:ind w:right="179"/>
              <w:spacing w:after="0"/>
              <w:rPr>
                <w:sz w:val="20"/>
                <w:szCs w:val="20"/>
                <w:color w:val="auto"/>
              </w:rPr>
            </w:pPr>
            <w:r>
              <w:rPr>
                <w:rFonts w:ascii="Arial" w:cs="Arial" w:eastAsia="Arial" w:hAnsi="Arial"/>
                <w:sz w:val="16"/>
                <w:szCs w:val="16"/>
                <w:color w:val="3E474E"/>
              </w:rPr>
              <w:t>150,000</w:t>
            </w:r>
          </w:p>
        </w:tc>
        <w:tc>
          <w:tcPr>
            <w:tcW w:w="134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60,669</w:t>
            </w:r>
          </w:p>
        </w:tc>
        <w:tc>
          <w:tcPr>
            <w:tcW w:w="340" w:type="dxa"/>
            <w:vAlign w:val="bottom"/>
            <w:shd w:val="clear" w:color="auto" w:fill="E3EAEE"/>
          </w:tcPr>
          <w:p>
            <w:pPr>
              <w:spacing w:after="0"/>
              <w:rPr>
                <w:sz w:val="24"/>
                <w:szCs w:val="24"/>
                <w:color w:val="auto"/>
              </w:rPr>
            </w:pPr>
          </w:p>
        </w:tc>
        <w:tc>
          <w:tcPr>
            <w:tcW w:w="124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892,646</w:t>
            </w:r>
          </w:p>
        </w:tc>
        <w:tc>
          <w:tcPr>
            <w:tcW w:w="0" w:type="dxa"/>
            <w:vAlign w:val="bottom"/>
          </w:tcPr>
          <w:p>
            <w:pPr>
              <w:spacing w:after="0"/>
              <w:rPr>
                <w:sz w:val="1"/>
                <w:szCs w:val="1"/>
                <w:color w:val="auto"/>
              </w:rPr>
            </w:pPr>
          </w:p>
        </w:tc>
      </w:tr>
      <w:tr>
        <w:trPr>
          <w:trHeight w:val="56"/>
        </w:trPr>
        <w:tc>
          <w:tcPr>
            <w:tcW w:w="2080" w:type="dxa"/>
            <w:vAlign w:val="bottom"/>
            <w:shd w:val="clear" w:color="auto" w:fill="E3EAEE"/>
          </w:tcPr>
          <w:p>
            <w:pPr>
              <w:spacing w:after="0"/>
              <w:rPr>
                <w:sz w:val="4"/>
                <w:szCs w:val="4"/>
                <w:color w:val="auto"/>
              </w:rPr>
            </w:pPr>
          </w:p>
        </w:tc>
        <w:tc>
          <w:tcPr>
            <w:tcW w:w="900" w:type="dxa"/>
            <w:vAlign w:val="bottom"/>
            <w:shd w:val="clear" w:color="auto" w:fill="E3EAEE"/>
          </w:tcPr>
          <w:p>
            <w:pPr>
              <w:spacing w:after="0"/>
              <w:rPr>
                <w:sz w:val="4"/>
                <w:szCs w:val="4"/>
                <w:color w:val="auto"/>
              </w:rPr>
            </w:pPr>
          </w:p>
        </w:tc>
        <w:tc>
          <w:tcPr>
            <w:tcW w:w="100" w:type="dxa"/>
            <w:vAlign w:val="bottom"/>
            <w:shd w:val="clear" w:color="auto" w:fill="E3EAEE"/>
          </w:tcPr>
          <w:p>
            <w:pPr>
              <w:spacing w:after="0"/>
              <w:rPr>
                <w:sz w:val="4"/>
                <w:szCs w:val="4"/>
                <w:color w:val="auto"/>
              </w:rPr>
            </w:pPr>
          </w:p>
        </w:tc>
        <w:tc>
          <w:tcPr>
            <w:tcW w:w="1120" w:type="dxa"/>
            <w:vAlign w:val="bottom"/>
            <w:shd w:val="clear" w:color="auto" w:fill="E3EAEE"/>
          </w:tcPr>
          <w:p>
            <w:pPr>
              <w:spacing w:after="0"/>
              <w:rPr>
                <w:sz w:val="4"/>
                <w:szCs w:val="4"/>
                <w:color w:val="auto"/>
              </w:rPr>
            </w:pPr>
          </w:p>
        </w:tc>
        <w:tc>
          <w:tcPr>
            <w:tcW w:w="340" w:type="dxa"/>
            <w:vAlign w:val="bottom"/>
            <w:shd w:val="clear" w:color="auto" w:fill="E3EAEE"/>
          </w:tcPr>
          <w:p>
            <w:pPr>
              <w:spacing w:after="0"/>
              <w:rPr>
                <w:sz w:val="4"/>
                <w:szCs w:val="4"/>
                <w:color w:val="auto"/>
              </w:rPr>
            </w:pPr>
          </w:p>
        </w:tc>
        <w:tc>
          <w:tcPr>
            <w:tcW w:w="1320" w:type="dxa"/>
            <w:vAlign w:val="bottom"/>
            <w:shd w:val="clear" w:color="auto" w:fill="E3EAEE"/>
          </w:tcPr>
          <w:p>
            <w:pPr>
              <w:spacing w:after="0"/>
              <w:rPr>
                <w:sz w:val="4"/>
                <w:szCs w:val="4"/>
                <w:color w:val="auto"/>
              </w:rPr>
            </w:pPr>
          </w:p>
        </w:tc>
        <w:tc>
          <w:tcPr>
            <w:tcW w:w="2060" w:type="dxa"/>
            <w:vAlign w:val="bottom"/>
            <w:shd w:val="clear" w:color="auto" w:fill="E3EAEE"/>
          </w:tcPr>
          <w:p>
            <w:pPr>
              <w:spacing w:after="0"/>
              <w:rPr>
                <w:sz w:val="4"/>
                <w:szCs w:val="4"/>
                <w:color w:val="auto"/>
              </w:rPr>
            </w:pPr>
          </w:p>
        </w:tc>
        <w:tc>
          <w:tcPr>
            <w:tcW w:w="1340" w:type="dxa"/>
            <w:vAlign w:val="bottom"/>
            <w:shd w:val="clear" w:color="auto" w:fill="E3EAEE"/>
          </w:tcPr>
          <w:p>
            <w:pPr>
              <w:spacing w:after="0"/>
              <w:rPr>
                <w:sz w:val="4"/>
                <w:szCs w:val="4"/>
                <w:color w:val="auto"/>
              </w:rPr>
            </w:pPr>
          </w:p>
        </w:tc>
        <w:tc>
          <w:tcPr>
            <w:tcW w:w="340" w:type="dxa"/>
            <w:vAlign w:val="bottom"/>
            <w:shd w:val="clear" w:color="auto" w:fill="E3EAEE"/>
          </w:tcPr>
          <w:p>
            <w:pPr>
              <w:spacing w:after="0"/>
              <w:rPr>
                <w:sz w:val="4"/>
                <w:szCs w:val="4"/>
                <w:color w:val="auto"/>
              </w:rPr>
            </w:pPr>
          </w:p>
        </w:tc>
        <w:tc>
          <w:tcPr>
            <w:tcW w:w="1240" w:type="dxa"/>
            <w:vAlign w:val="bottom"/>
            <w:shd w:val="clear" w:color="auto" w:fill="E3EAE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right="100" w:hanging="172"/>
        <w:spacing w:after="0" w:line="232" w:lineRule="auto"/>
        <w:tabs>
          <w:tab w:leader="none" w:pos="140" w:val="left"/>
        </w:tabs>
        <w:numPr>
          <w:ilvl w:val="0"/>
          <w:numId w:val="78"/>
        </w:numPr>
        <w:rPr>
          <w:rFonts w:ascii="Arial" w:cs="Arial" w:eastAsia="Arial" w:hAnsi="Arial"/>
          <w:sz w:val="16"/>
          <w:szCs w:val="16"/>
          <w:color w:val="3E474E"/>
          <w:vertAlign w:val="superscript"/>
        </w:rPr>
      </w:pPr>
      <w:r>
        <w:rPr>
          <w:rFonts w:ascii="Arial" w:cs="Arial" w:eastAsia="Arial" w:hAnsi="Arial"/>
          <w:sz w:val="13"/>
          <w:szCs w:val="13"/>
          <w:color w:val="3E474E"/>
        </w:rPr>
        <w:t>The amounts in this column represent the aggregate grant date fair value computed in accordance with FASB ASC Topic 718. Refer to the subsequent table under Grants of Plan-Based Awards for the details of awards reflected in the current period value. 50% of the 2025 Special Award is subject to a performance condition which is computed based on probable outcome in accordance with FASB ASC Topic 718. The grant date fair value of the portion of the Special Award subject to a performance condition assuming the maximum level of performance is $2,644,476 and $1,065,790 for Mr. Shawn J. Tibbetts and Mr. Matthew T. Barnes-Smith, respectively.</w:t>
      </w:r>
    </w:p>
    <w:p>
      <w:pPr>
        <w:spacing w:after="0" w:line="18" w:lineRule="exact"/>
        <w:rPr>
          <w:rFonts w:ascii="Arial" w:cs="Arial" w:eastAsia="Arial" w:hAnsi="Arial"/>
          <w:sz w:val="16"/>
          <w:szCs w:val="16"/>
          <w:color w:val="3E474E"/>
          <w:vertAlign w:val="superscript"/>
        </w:rPr>
      </w:pPr>
    </w:p>
    <w:p>
      <w:pPr>
        <w:ind w:left="140" w:hanging="132"/>
        <w:spacing w:after="0"/>
        <w:tabs>
          <w:tab w:leader="none" w:pos="140" w:val="left"/>
        </w:tabs>
        <w:numPr>
          <w:ilvl w:val="0"/>
          <w:numId w:val="78"/>
        </w:numPr>
        <w:rPr>
          <w:rFonts w:ascii="Arial" w:cs="Arial" w:eastAsia="Arial" w:hAnsi="Arial"/>
          <w:sz w:val="16"/>
          <w:szCs w:val="16"/>
          <w:color w:val="3E474E"/>
          <w:vertAlign w:val="superscript"/>
        </w:rPr>
      </w:pPr>
      <w:r>
        <w:rPr>
          <w:rFonts w:ascii="Arial" w:cs="Arial" w:eastAsia="Arial" w:hAnsi="Arial"/>
          <w:sz w:val="13"/>
          <w:szCs w:val="13"/>
          <w:color w:val="3E474E"/>
        </w:rPr>
        <w:t>This column represents the annual cash STIP payable to each NEO for the year in which it was earned.</w:t>
      </w:r>
    </w:p>
    <w:p>
      <w:pPr>
        <w:spacing w:after="0" w:line="56" w:lineRule="exact"/>
        <w:rPr>
          <w:rFonts w:ascii="Arial" w:cs="Arial" w:eastAsia="Arial" w:hAnsi="Arial"/>
          <w:sz w:val="16"/>
          <w:szCs w:val="16"/>
          <w:color w:val="3E474E"/>
          <w:vertAlign w:val="superscript"/>
        </w:rPr>
      </w:pPr>
    </w:p>
    <w:p>
      <w:pPr>
        <w:ind w:left="180" w:right="120" w:hanging="172"/>
        <w:spacing w:after="0" w:line="226" w:lineRule="auto"/>
        <w:tabs>
          <w:tab w:leader="none" w:pos="140" w:val="left"/>
        </w:tabs>
        <w:numPr>
          <w:ilvl w:val="0"/>
          <w:numId w:val="78"/>
        </w:numPr>
        <w:rPr>
          <w:rFonts w:ascii="Arial" w:cs="Arial" w:eastAsia="Arial" w:hAnsi="Arial"/>
          <w:sz w:val="16"/>
          <w:szCs w:val="16"/>
          <w:color w:val="3E474E"/>
          <w:vertAlign w:val="superscript"/>
        </w:rPr>
      </w:pPr>
      <w:r>
        <w:rPr>
          <w:rFonts w:ascii="Arial" w:cs="Arial" w:eastAsia="Arial" w:hAnsi="Arial"/>
          <w:sz w:val="13"/>
          <w:szCs w:val="13"/>
          <w:color w:val="3E474E"/>
        </w:rPr>
        <w:t>The amounts in this column for 2025 consist of the following: (i) automobile allowance (including gas) in the amount of $35,724 for Mr. Tibbetts and $26,431 for Mr. Barnes-Smith; (ii) employer 401(k) matches for each NEO in the amount of $10,000; (iii) executive physical reimbursement of $4,800 for Mr. Tibbetts; (iv) concierge health services in the amount of $2,100 for each NEO; (v) parking fees for each NEO in the amount of $1,590; and (vi) excess life insurance in the amount of $630 for Mr. Tibbetts and $420 for Mr. Barnes-Smith.</w:t>
      </w:r>
    </w:p>
    <w:p>
      <w:pPr>
        <w:spacing w:after="0" w:line="38" w:lineRule="exact"/>
        <w:rPr>
          <w:rFonts w:ascii="Arial" w:cs="Arial" w:eastAsia="Arial" w:hAnsi="Arial"/>
          <w:sz w:val="16"/>
          <w:szCs w:val="16"/>
          <w:color w:val="3E474E"/>
          <w:vertAlign w:val="superscript"/>
        </w:rPr>
      </w:pPr>
    </w:p>
    <w:p>
      <w:pPr>
        <w:ind w:left="180" w:right="200" w:hanging="172"/>
        <w:spacing w:after="0" w:line="246" w:lineRule="auto"/>
        <w:tabs>
          <w:tab w:leader="none" w:pos="140" w:val="left"/>
        </w:tabs>
        <w:numPr>
          <w:ilvl w:val="0"/>
          <w:numId w:val="78"/>
        </w:numPr>
        <w:rPr>
          <w:rFonts w:ascii="Arial" w:cs="Arial" w:eastAsia="Arial" w:hAnsi="Arial"/>
          <w:sz w:val="15"/>
          <w:szCs w:val="15"/>
          <w:color w:val="3E474E"/>
          <w:vertAlign w:val="superscript"/>
        </w:rPr>
      </w:pPr>
      <w:r>
        <w:rPr>
          <w:rFonts w:ascii="Arial" w:cs="Arial" w:eastAsia="Arial" w:hAnsi="Arial"/>
          <w:sz w:val="12"/>
          <w:szCs w:val="12"/>
          <w:color w:val="3E474E"/>
        </w:rPr>
        <w:t>This amount represents: (i) severance in the amount of $1,319,295; (ii) automobile allowance (including gas) in the amount of $11,100; (iii) employer 401(k) matches totaling $10,000; (iv) concierge health services in the amount of $4,675; (v) tax return preparation fees in the amount of $3,016; (vi) excess life insurance in the amount of $1,172; and (vii) parking fees in the amount of $530.</w:t>
      </w:r>
    </w:p>
    <w:p>
      <w:pPr>
        <w:spacing w:after="0" w:line="14" w:lineRule="exact"/>
        <w:rPr>
          <w:rFonts w:ascii="Arial" w:cs="Arial" w:eastAsia="Arial" w:hAnsi="Arial"/>
          <w:sz w:val="15"/>
          <w:szCs w:val="15"/>
          <w:color w:val="3E474E"/>
          <w:vertAlign w:val="superscript"/>
        </w:rPr>
      </w:pPr>
    </w:p>
    <w:p>
      <w:pPr>
        <w:ind w:left="140" w:hanging="132"/>
        <w:spacing w:after="0"/>
        <w:tabs>
          <w:tab w:leader="none" w:pos="140" w:val="left"/>
        </w:tabs>
        <w:numPr>
          <w:ilvl w:val="0"/>
          <w:numId w:val="78"/>
        </w:numPr>
        <w:rPr>
          <w:rFonts w:ascii="Arial" w:cs="Arial" w:eastAsia="Arial" w:hAnsi="Arial"/>
          <w:sz w:val="16"/>
          <w:szCs w:val="16"/>
          <w:color w:val="3E474E"/>
          <w:vertAlign w:val="superscript"/>
        </w:rPr>
      </w:pPr>
      <w:r>
        <w:rPr>
          <w:rFonts w:ascii="Arial" w:cs="Arial" w:eastAsia="Arial" w:hAnsi="Arial"/>
          <w:sz w:val="13"/>
          <w:szCs w:val="13"/>
          <w:color w:val="3E474E"/>
        </w:rPr>
        <w:t>On May 23, 2025, Mr. Apperson was terminated, without cause, from his position as an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49</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747C83"/>
        </w:rPr>
        <w:t>Compensation Table and Narratives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478A3"/>
        </w:rPr>
        <w:t>Grants of Plan-Based Awards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3E474E"/>
        </w:rPr>
        <w:t>The following table summarizes grants of plan-based awards made to our NEOs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1268730" cy="8743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68730" cy="87439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1478A3"/>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left="160" w:right="240"/>
        <w:spacing w:after="0" w:line="317" w:lineRule="auto"/>
        <w:rPr>
          <w:sz w:val="20"/>
          <w:szCs w:val="20"/>
          <w:color w:val="auto"/>
        </w:rPr>
      </w:pPr>
      <w:r>
        <w:rPr>
          <w:rFonts w:ascii="Arial" w:cs="Arial" w:eastAsia="Arial" w:hAnsi="Arial"/>
          <w:sz w:val="12"/>
          <w:szCs w:val="12"/>
          <w:b w:val="1"/>
          <w:bCs w:val="1"/>
          <w:color w:val="3E474E"/>
        </w:rPr>
        <w:t>Shawn J. Tibbetts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1268730" cy="1371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6873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40" w:hanging="80"/>
        <w:spacing w:after="0" w:line="317" w:lineRule="auto"/>
        <w:rPr>
          <w:sz w:val="20"/>
          <w:szCs w:val="20"/>
          <w:color w:val="auto"/>
        </w:rPr>
      </w:pPr>
      <w:r>
        <w:rPr>
          <w:rFonts w:ascii="Arial" w:cs="Arial" w:eastAsia="Arial" w:hAnsi="Arial"/>
          <w:sz w:val="12"/>
          <w:szCs w:val="12"/>
          <w:b w:val="1"/>
          <w:bCs w:val="1"/>
          <w:color w:val="3E474E"/>
        </w:rPr>
        <w:t>Matthew T. Barnes-Smith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0" w:right="140" w:hanging="80"/>
        <w:spacing w:after="0" w:line="370" w:lineRule="auto"/>
        <w:rPr>
          <w:sz w:val="20"/>
          <w:szCs w:val="20"/>
          <w:color w:val="auto"/>
        </w:rPr>
      </w:pPr>
      <w:r>
        <w:rPr>
          <w:rFonts w:ascii="Arial" w:cs="Arial" w:eastAsia="Arial" w:hAnsi="Arial"/>
          <w:sz w:val="11"/>
          <w:szCs w:val="11"/>
          <w:b w:val="1"/>
          <w:bCs w:val="1"/>
          <w:color w:val="3E474E"/>
        </w:rPr>
        <w:t>Eric E. Apperson</w:t>
      </w:r>
      <w:r>
        <w:rPr>
          <w:rFonts w:ascii="Arial" w:cs="Arial" w:eastAsia="Arial" w:hAnsi="Arial"/>
          <w:sz w:val="14"/>
          <w:szCs w:val="14"/>
          <w:b w:val="1"/>
          <w:bCs w:val="1"/>
          <w:color w:val="3E474E"/>
          <w:vertAlign w:val="superscript"/>
        </w:rPr>
        <w:t>(5)</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74"/>
        </w:trPr>
        <w:tc>
          <w:tcPr>
            <w:tcW w:w="860" w:type="dxa"/>
            <w:vAlign w:val="bottom"/>
            <w:shd w:val="clear" w:color="auto" w:fill="E3EAEE"/>
          </w:tcPr>
          <w:p>
            <w:pPr>
              <w:spacing w:after="0"/>
              <w:rPr>
                <w:sz w:val="24"/>
                <w:szCs w:val="24"/>
                <w:color w:val="auto"/>
              </w:rPr>
            </w:pPr>
          </w:p>
        </w:tc>
        <w:tc>
          <w:tcPr>
            <w:tcW w:w="120" w:type="dxa"/>
            <w:vAlign w:val="bottom"/>
            <w:shd w:val="clear" w:color="auto" w:fill="E3EAEE"/>
          </w:tcPr>
          <w:p>
            <w:pPr>
              <w:spacing w:after="0"/>
              <w:rPr>
                <w:sz w:val="24"/>
                <w:szCs w:val="24"/>
                <w:color w:val="auto"/>
              </w:rPr>
            </w:pPr>
          </w:p>
        </w:tc>
        <w:tc>
          <w:tcPr>
            <w:tcW w:w="2980" w:type="dxa"/>
            <w:vAlign w:val="bottom"/>
            <w:gridSpan w:val="5"/>
            <w:shd w:val="clear" w:color="auto" w:fill="E3EAEE"/>
          </w:tcPr>
          <w:p>
            <w:pPr>
              <w:jc w:val="center"/>
              <w:ind w:right="100"/>
              <w:spacing w:after="0"/>
              <w:rPr>
                <w:sz w:val="20"/>
                <w:szCs w:val="20"/>
                <w:color w:val="auto"/>
              </w:rPr>
            </w:pPr>
            <w:r>
              <w:rPr>
                <w:rFonts w:ascii="Arial" w:cs="Arial" w:eastAsia="Arial" w:hAnsi="Arial"/>
                <w:sz w:val="14"/>
                <w:szCs w:val="14"/>
                <w:b w:val="1"/>
                <w:bCs w:val="1"/>
                <w:color w:val="1478A3"/>
              </w:rPr>
              <w:t>Estimated future payouts under non-</w:t>
            </w:r>
          </w:p>
        </w:tc>
        <w:tc>
          <w:tcPr>
            <w:tcW w:w="3040" w:type="dxa"/>
            <w:vAlign w:val="bottom"/>
            <w:gridSpan w:val="4"/>
            <w:shd w:val="clear" w:color="auto" w:fill="E3EAEE"/>
          </w:tcPr>
          <w:p>
            <w:pPr>
              <w:jc w:val="center"/>
              <w:ind w:right="100"/>
              <w:spacing w:after="0"/>
              <w:rPr>
                <w:sz w:val="20"/>
                <w:szCs w:val="20"/>
                <w:color w:val="auto"/>
              </w:rPr>
            </w:pPr>
            <w:r>
              <w:rPr>
                <w:rFonts w:ascii="Arial" w:cs="Arial" w:eastAsia="Arial" w:hAnsi="Arial"/>
                <w:sz w:val="14"/>
                <w:szCs w:val="14"/>
                <w:b w:val="1"/>
                <w:bCs w:val="1"/>
                <w:color w:val="1478A3"/>
              </w:rPr>
              <w:t>Estimated Possible Payouts Under Equity</w:t>
            </w:r>
          </w:p>
        </w:tc>
        <w:tc>
          <w:tcPr>
            <w:tcW w:w="1260" w:type="dxa"/>
            <w:vAlign w:val="bottom"/>
            <w:shd w:val="clear" w:color="auto" w:fill="E3EAEE"/>
          </w:tcPr>
          <w:p>
            <w:pPr>
              <w:spacing w:after="0"/>
              <w:rPr>
                <w:sz w:val="24"/>
                <w:szCs w:val="24"/>
                <w:color w:val="auto"/>
              </w:rPr>
            </w:pPr>
          </w:p>
        </w:tc>
        <w:tc>
          <w:tcPr>
            <w:tcW w:w="1560" w:type="dxa"/>
            <w:vAlign w:val="bottom"/>
            <w:shd w:val="clear" w:color="auto" w:fill="E3EAEE"/>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60" w:type="dxa"/>
            <w:vAlign w:val="bottom"/>
            <w:tcBorders>
              <w:bottom w:val="single" w:sz="8" w:color="E3EAEE"/>
            </w:tcBorders>
            <w:shd w:val="clear" w:color="auto" w:fill="E3EAEE"/>
          </w:tcPr>
          <w:p>
            <w:pPr>
              <w:spacing w:after="0"/>
              <w:rPr>
                <w:sz w:val="18"/>
                <w:szCs w:val="18"/>
                <w:color w:val="auto"/>
              </w:rPr>
            </w:pPr>
          </w:p>
        </w:tc>
        <w:tc>
          <w:tcPr>
            <w:tcW w:w="120" w:type="dxa"/>
            <w:vAlign w:val="bottom"/>
            <w:tcBorders>
              <w:bottom w:val="single" w:sz="8" w:color="E3EAEE"/>
            </w:tcBorders>
            <w:shd w:val="clear" w:color="auto" w:fill="E3EAEE"/>
          </w:tcPr>
          <w:p>
            <w:pPr>
              <w:spacing w:after="0"/>
              <w:rPr>
                <w:sz w:val="18"/>
                <w:szCs w:val="18"/>
                <w:color w:val="auto"/>
              </w:rPr>
            </w:pPr>
          </w:p>
        </w:tc>
        <w:tc>
          <w:tcPr>
            <w:tcW w:w="2980" w:type="dxa"/>
            <w:vAlign w:val="bottom"/>
            <w:tcBorders>
              <w:bottom w:val="single" w:sz="8" w:color="E3EAEE"/>
            </w:tcBorders>
            <w:gridSpan w:val="5"/>
            <w:shd w:val="clear" w:color="auto" w:fill="E3EAEE"/>
          </w:tcPr>
          <w:p>
            <w:pPr>
              <w:jc w:val="center"/>
              <w:ind w:right="100"/>
              <w:spacing w:after="0" w:line="178" w:lineRule="exact"/>
              <w:rPr>
                <w:sz w:val="20"/>
                <w:szCs w:val="20"/>
                <w:color w:val="auto"/>
              </w:rPr>
            </w:pPr>
            <w:r>
              <w:rPr>
                <w:rFonts w:ascii="Arial" w:cs="Arial" w:eastAsia="Arial" w:hAnsi="Arial"/>
                <w:sz w:val="14"/>
                <w:szCs w:val="14"/>
                <w:b w:val="1"/>
                <w:bCs w:val="1"/>
                <w:color w:val="1478A3"/>
              </w:rPr>
              <w:t>equity incentive plan awards</w:t>
            </w:r>
            <w:r>
              <w:rPr>
                <w:rFonts w:ascii="Arial" w:cs="Arial" w:eastAsia="Arial" w:hAnsi="Arial"/>
                <w:sz w:val="18"/>
                <w:szCs w:val="18"/>
                <w:b w:val="1"/>
                <w:bCs w:val="1"/>
                <w:color w:val="1478A3"/>
                <w:vertAlign w:val="superscript"/>
              </w:rPr>
              <w:t>(1)</w:t>
            </w:r>
          </w:p>
        </w:tc>
        <w:tc>
          <w:tcPr>
            <w:tcW w:w="3040" w:type="dxa"/>
            <w:vAlign w:val="bottom"/>
            <w:tcBorders>
              <w:bottom w:val="single" w:sz="8" w:color="E3EAEE"/>
            </w:tcBorders>
            <w:gridSpan w:val="4"/>
            <w:shd w:val="clear" w:color="auto" w:fill="E3EAEE"/>
          </w:tcPr>
          <w:p>
            <w:pPr>
              <w:jc w:val="center"/>
              <w:ind w:right="80"/>
              <w:spacing w:after="0" w:line="178" w:lineRule="exact"/>
              <w:rPr>
                <w:sz w:val="20"/>
                <w:szCs w:val="20"/>
                <w:color w:val="auto"/>
              </w:rPr>
            </w:pPr>
            <w:r>
              <w:rPr>
                <w:rFonts w:ascii="Arial" w:cs="Arial" w:eastAsia="Arial" w:hAnsi="Arial"/>
                <w:sz w:val="14"/>
                <w:szCs w:val="14"/>
                <w:b w:val="1"/>
                <w:bCs w:val="1"/>
                <w:color w:val="1478A3"/>
              </w:rPr>
              <w:t>Incentive Plan Awards</w:t>
            </w:r>
            <w:r>
              <w:rPr>
                <w:rFonts w:ascii="Arial" w:cs="Arial" w:eastAsia="Arial" w:hAnsi="Arial"/>
                <w:sz w:val="18"/>
                <w:szCs w:val="18"/>
                <w:b w:val="1"/>
                <w:bCs w:val="1"/>
                <w:color w:val="1478A3"/>
                <w:vertAlign w:val="superscript"/>
              </w:rPr>
              <w:t>(2)</w:t>
            </w:r>
          </w:p>
        </w:tc>
        <w:tc>
          <w:tcPr>
            <w:tcW w:w="1260" w:type="dxa"/>
            <w:vAlign w:val="bottom"/>
            <w:tcBorders>
              <w:bottom w:val="single" w:sz="8" w:color="E3EAEE"/>
            </w:tcBorders>
            <w:shd w:val="clear" w:color="auto" w:fill="E3EAEE"/>
          </w:tcPr>
          <w:p>
            <w:pPr>
              <w:jc w:val="right"/>
              <w:ind w:right="35"/>
              <w:spacing w:after="0"/>
              <w:rPr>
                <w:sz w:val="20"/>
                <w:szCs w:val="20"/>
                <w:color w:val="auto"/>
              </w:rPr>
            </w:pPr>
            <w:r>
              <w:rPr>
                <w:rFonts w:ascii="Arial" w:cs="Arial" w:eastAsia="Arial" w:hAnsi="Arial"/>
                <w:sz w:val="14"/>
                <w:szCs w:val="14"/>
                <w:b w:val="1"/>
                <w:bCs w:val="1"/>
                <w:color w:val="1478A3"/>
              </w:rPr>
              <w:t>All other stock</w:t>
            </w:r>
          </w:p>
        </w:tc>
        <w:tc>
          <w:tcPr>
            <w:tcW w:w="1560" w:type="dxa"/>
            <w:vAlign w:val="bottom"/>
            <w:tcBorders>
              <w:bottom w:val="single" w:sz="8" w:color="E3EAEE"/>
            </w:tcBorders>
            <w:shd w:val="clear" w:color="auto" w:fill="E3EAEE"/>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860" w:type="dxa"/>
            <w:vAlign w:val="bottom"/>
          </w:tcPr>
          <w:p>
            <w:pPr>
              <w:spacing w:after="0"/>
              <w:rPr>
                <w:sz w:val="10"/>
                <w:szCs w:val="10"/>
                <w:color w:val="auto"/>
              </w:rPr>
            </w:pPr>
          </w:p>
        </w:tc>
        <w:tc>
          <w:tcPr>
            <w:tcW w:w="120" w:type="dxa"/>
            <w:vAlign w:val="bottom"/>
            <w:tcBorders>
              <w:top w:val="single" w:sz="8" w:color="E3EAEE"/>
            </w:tcBorders>
            <w:shd w:val="clear" w:color="auto" w:fill="E3EAEE"/>
          </w:tcPr>
          <w:p>
            <w:pPr>
              <w:spacing w:after="0"/>
              <w:rPr>
                <w:sz w:val="10"/>
                <w:szCs w:val="10"/>
                <w:color w:val="auto"/>
              </w:rPr>
            </w:pPr>
          </w:p>
        </w:tc>
        <w:tc>
          <w:tcPr>
            <w:tcW w:w="920" w:type="dxa"/>
            <w:vAlign w:val="bottom"/>
            <w:tcBorders>
              <w:top w:val="single" w:sz="8" w:color="1478A3"/>
            </w:tcBorders>
            <w:shd w:val="clear" w:color="auto" w:fill="E3EAEE"/>
          </w:tcPr>
          <w:p>
            <w:pPr>
              <w:spacing w:after="0"/>
              <w:rPr>
                <w:sz w:val="10"/>
                <w:szCs w:val="10"/>
                <w:color w:val="auto"/>
              </w:rPr>
            </w:pPr>
          </w:p>
        </w:tc>
        <w:tc>
          <w:tcPr>
            <w:tcW w:w="80" w:type="dxa"/>
            <w:vAlign w:val="bottom"/>
            <w:tcBorders>
              <w:top w:val="single" w:sz="8" w:color="1478A3"/>
            </w:tcBorders>
            <w:shd w:val="clear" w:color="auto" w:fill="E3EAEE"/>
          </w:tcPr>
          <w:p>
            <w:pPr>
              <w:spacing w:after="0"/>
              <w:rPr>
                <w:sz w:val="10"/>
                <w:szCs w:val="10"/>
                <w:color w:val="auto"/>
              </w:rPr>
            </w:pPr>
          </w:p>
        </w:tc>
        <w:tc>
          <w:tcPr>
            <w:tcW w:w="880" w:type="dxa"/>
            <w:vAlign w:val="bottom"/>
            <w:tcBorders>
              <w:top w:val="single" w:sz="8" w:color="1478A3"/>
            </w:tcBorders>
            <w:shd w:val="clear" w:color="auto" w:fill="E3EAEE"/>
          </w:tcPr>
          <w:p>
            <w:pPr>
              <w:spacing w:after="0"/>
              <w:rPr>
                <w:sz w:val="10"/>
                <w:szCs w:val="10"/>
                <w:color w:val="auto"/>
              </w:rPr>
            </w:pPr>
          </w:p>
        </w:tc>
        <w:tc>
          <w:tcPr>
            <w:tcW w:w="1020" w:type="dxa"/>
            <w:vAlign w:val="bottom"/>
            <w:tcBorders>
              <w:top w:val="single" w:sz="8" w:color="1478A3"/>
            </w:tcBorders>
            <w:shd w:val="clear" w:color="auto" w:fill="E3EAEE"/>
          </w:tcPr>
          <w:p>
            <w:pPr>
              <w:spacing w:after="0"/>
              <w:rPr>
                <w:sz w:val="10"/>
                <w:szCs w:val="10"/>
                <w:color w:val="auto"/>
              </w:rPr>
            </w:pPr>
          </w:p>
        </w:tc>
        <w:tc>
          <w:tcPr>
            <w:tcW w:w="80" w:type="dxa"/>
            <w:vAlign w:val="bottom"/>
            <w:tcBorders>
              <w:top w:val="single" w:sz="8" w:color="E3EAEE"/>
            </w:tcBorders>
            <w:shd w:val="clear" w:color="auto" w:fill="E3EAEE"/>
          </w:tcPr>
          <w:p>
            <w:pPr>
              <w:spacing w:after="0"/>
              <w:rPr>
                <w:sz w:val="10"/>
                <w:szCs w:val="10"/>
                <w:color w:val="auto"/>
              </w:rPr>
            </w:pPr>
          </w:p>
        </w:tc>
        <w:tc>
          <w:tcPr>
            <w:tcW w:w="1080" w:type="dxa"/>
            <w:vAlign w:val="bottom"/>
            <w:tcBorders>
              <w:top w:val="single" w:sz="8" w:color="1478A3"/>
            </w:tcBorders>
            <w:shd w:val="clear" w:color="auto" w:fill="E3EAEE"/>
          </w:tcPr>
          <w:p>
            <w:pPr>
              <w:spacing w:after="0"/>
              <w:rPr>
                <w:sz w:val="10"/>
                <w:szCs w:val="10"/>
                <w:color w:val="auto"/>
              </w:rPr>
            </w:pPr>
          </w:p>
        </w:tc>
        <w:tc>
          <w:tcPr>
            <w:tcW w:w="960" w:type="dxa"/>
            <w:vAlign w:val="bottom"/>
            <w:tcBorders>
              <w:top w:val="single" w:sz="8" w:color="1478A3"/>
            </w:tcBorders>
            <w:shd w:val="clear" w:color="auto" w:fill="E3EAEE"/>
          </w:tcPr>
          <w:p>
            <w:pPr>
              <w:spacing w:after="0"/>
              <w:rPr>
                <w:sz w:val="10"/>
                <w:szCs w:val="10"/>
                <w:color w:val="auto"/>
              </w:rPr>
            </w:pPr>
          </w:p>
        </w:tc>
        <w:tc>
          <w:tcPr>
            <w:tcW w:w="920" w:type="dxa"/>
            <w:vAlign w:val="bottom"/>
            <w:tcBorders>
              <w:top w:val="single" w:sz="8" w:color="1478A3"/>
            </w:tcBorders>
            <w:shd w:val="clear" w:color="auto" w:fill="E3EAEE"/>
          </w:tcPr>
          <w:p>
            <w:pPr>
              <w:spacing w:after="0"/>
              <w:rPr>
                <w:sz w:val="10"/>
                <w:szCs w:val="10"/>
                <w:color w:val="auto"/>
              </w:rPr>
            </w:pPr>
          </w:p>
        </w:tc>
        <w:tc>
          <w:tcPr>
            <w:tcW w:w="80" w:type="dxa"/>
            <w:vAlign w:val="bottom"/>
            <w:tcBorders>
              <w:top w:val="single" w:sz="8" w:color="E3EAEE"/>
            </w:tcBorders>
            <w:shd w:val="clear" w:color="auto" w:fill="E3EAEE"/>
          </w:tcPr>
          <w:p>
            <w:pPr>
              <w:spacing w:after="0"/>
              <w:rPr>
                <w:sz w:val="10"/>
                <w:szCs w:val="10"/>
                <w:color w:val="auto"/>
              </w:rPr>
            </w:pPr>
          </w:p>
        </w:tc>
        <w:tc>
          <w:tcPr>
            <w:tcW w:w="1260" w:type="dxa"/>
            <w:vAlign w:val="bottom"/>
            <w:tcBorders>
              <w:top w:val="single" w:sz="8" w:color="E3EAEE"/>
            </w:tcBorders>
            <w:shd w:val="clear" w:color="auto" w:fill="E3EAEE"/>
          </w:tcPr>
          <w:p>
            <w:pPr>
              <w:jc w:val="right"/>
              <w:ind w:right="35"/>
              <w:spacing w:after="0" w:line="119" w:lineRule="exact"/>
              <w:rPr>
                <w:sz w:val="20"/>
                <w:szCs w:val="20"/>
                <w:color w:val="auto"/>
              </w:rPr>
            </w:pPr>
            <w:r>
              <w:rPr>
                <w:rFonts w:ascii="Arial" w:cs="Arial" w:eastAsia="Arial" w:hAnsi="Arial"/>
                <w:sz w:val="13"/>
                <w:szCs w:val="13"/>
                <w:b w:val="1"/>
                <w:bCs w:val="1"/>
                <w:color w:val="1478A3"/>
              </w:rPr>
              <w:t>awards: Number</w:t>
            </w:r>
          </w:p>
        </w:tc>
        <w:tc>
          <w:tcPr>
            <w:tcW w:w="1560" w:type="dxa"/>
            <w:vAlign w:val="bottom"/>
            <w:tcBorders>
              <w:top w:val="single" w:sz="8" w:color="E3EAEE"/>
            </w:tcBorders>
            <w:shd w:val="clear" w:color="auto" w:fill="E3EAEE"/>
          </w:tcPr>
          <w:p>
            <w:pPr>
              <w:jc w:val="right"/>
              <w:spacing w:after="0" w:line="119" w:lineRule="exact"/>
              <w:rPr>
                <w:sz w:val="20"/>
                <w:szCs w:val="20"/>
                <w:color w:val="auto"/>
              </w:rPr>
            </w:pPr>
            <w:r>
              <w:rPr>
                <w:rFonts w:ascii="Arial" w:cs="Arial" w:eastAsia="Arial" w:hAnsi="Arial"/>
                <w:sz w:val="13"/>
                <w:szCs w:val="13"/>
                <w:b w:val="1"/>
                <w:bCs w:val="1"/>
                <w:color w:val="1478A3"/>
              </w:rPr>
              <w:t>Grant Date Fair Value</w:t>
            </w:r>
          </w:p>
        </w:tc>
        <w:tc>
          <w:tcPr>
            <w:tcW w:w="0" w:type="dxa"/>
            <w:vAlign w:val="bottom"/>
          </w:tcPr>
          <w:p>
            <w:pPr>
              <w:spacing w:after="0"/>
              <w:rPr>
                <w:sz w:val="1"/>
                <w:szCs w:val="1"/>
                <w:color w:val="auto"/>
              </w:rPr>
            </w:pPr>
          </w:p>
        </w:tc>
      </w:tr>
      <w:tr>
        <w:trPr>
          <w:trHeight w:val="173"/>
        </w:trPr>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1478A3"/>
              </w:rPr>
              <w:t>Grant</w:t>
            </w:r>
          </w:p>
        </w:tc>
        <w:tc>
          <w:tcPr>
            <w:tcW w:w="120" w:type="dxa"/>
            <w:vAlign w:val="bottom"/>
            <w:shd w:val="clear" w:color="auto" w:fill="E3EAEE"/>
          </w:tcPr>
          <w:p>
            <w:pPr>
              <w:spacing w:after="0"/>
              <w:rPr>
                <w:sz w:val="15"/>
                <w:szCs w:val="15"/>
                <w:color w:val="auto"/>
              </w:rPr>
            </w:pPr>
          </w:p>
        </w:tc>
        <w:tc>
          <w:tcPr>
            <w:tcW w:w="920" w:type="dxa"/>
            <w:vAlign w:val="bottom"/>
            <w:vMerge w:val="restart"/>
            <w:shd w:val="clear" w:color="auto" w:fill="E3EAEE"/>
          </w:tcPr>
          <w:p>
            <w:pPr>
              <w:ind w:left="100"/>
              <w:spacing w:after="0"/>
              <w:rPr>
                <w:sz w:val="20"/>
                <w:szCs w:val="20"/>
                <w:color w:val="auto"/>
              </w:rPr>
            </w:pPr>
            <w:r>
              <w:rPr>
                <w:rFonts w:ascii="Arial" w:cs="Arial" w:eastAsia="Arial" w:hAnsi="Arial"/>
                <w:sz w:val="14"/>
                <w:szCs w:val="14"/>
                <w:b w:val="1"/>
                <w:bCs w:val="1"/>
                <w:color w:val="1478A3"/>
              </w:rPr>
              <w:t>Threshold</w:t>
            </w:r>
          </w:p>
        </w:tc>
        <w:tc>
          <w:tcPr>
            <w:tcW w:w="80" w:type="dxa"/>
            <w:vAlign w:val="bottom"/>
            <w:shd w:val="clear" w:color="auto" w:fill="E3EAEE"/>
          </w:tcPr>
          <w:p>
            <w:pPr>
              <w:spacing w:after="0"/>
              <w:rPr>
                <w:sz w:val="15"/>
                <w:szCs w:val="15"/>
                <w:color w:val="auto"/>
              </w:rPr>
            </w:pPr>
          </w:p>
        </w:tc>
        <w:tc>
          <w:tcPr>
            <w:tcW w:w="880" w:type="dxa"/>
            <w:vAlign w:val="bottom"/>
            <w:vMerge w:val="restart"/>
            <w:shd w:val="clear" w:color="auto" w:fill="E3EAEE"/>
          </w:tcPr>
          <w:p>
            <w:pPr>
              <w:jc w:val="center"/>
              <w:spacing w:after="0"/>
              <w:rPr>
                <w:sz w:val="20"/>
                <w:szCs w:val="20"/>
                <w:color w:val="auto"/>
              </w:rPr>
            </w:pPr>
            <w:r>
              <w:rPr>
                <w:rFonts w:ascii="Arial" w:cs="Arial" w:eastAsia="Arial" w:hAnsi="Arial"/>
                <w:sz w:val="14"/>
                <w:szCs w:val="14"/>
                <w:b w:val="1"/>
                <w:bCs w:val="1"/>
                <w:color w:val="1478A3"/>
                <w:w w:val="98"/>
              </w:rPr>
              <w:t>Target</w:t>
            </w:r>
          </w:p>
        </w:tc>
        <w:tc>
          <w:tcPr>
            <w:tcW w:w="1100" w:type="dxa"/>
            <w:vAlign w:val="bottom"/>
            <w:gridSpan w:val="2"/>
            <w:vMerge w:val="restart"/>
            <w:shd w:val="clear" w:color="auto" w:fill="E3EAEE"/>
          </w:tcPr>
          <w:p>
            <w:pPr>
              <w:ind w:left="220"/>
              <w:spacing w:after="0"/>
              <w:rPr>
                <w:sz w:val="20"/>
                <w:szCs w:val="20"/>
                <w:color w:val="auto"/>
              </w:rPr>
            </w:pPr>
            <w:r>
              <w:rPr>
                <w:rFonts w:ascii="Arial" w:cs="Arial" w:eastAsia="Arial" w:hAnsi="Arial"/>
                <w:sz w:val="14"/>
                <w:szCs w:val="14"/>
                <w:b w:val="1"/>
                <w:bCs w:val="1"/>
                <w:color w:val="1478A3"/>
              </w:rPr>
              <w:t>Maximum</w:t>
            </w:r>
          </w:p>
        </w:tc>
        <w:tc>
          <w:tcPr>
            <w:tcW w:w="1080" w:type="dxa"/>
            <w:vAlign w:val="bottom"/>
            <w:vMerge w:val="restart"/>
            <w:shd w:val="clear" w:color="auto" w:fill="E3EAEE"/>
          </w:tcPr>
          <w:p>
            <w:pPr>
              <w:jc w:val="right"/>
              <w:ind w:right="195"/>
              <w:spacing w:after="0"/>
              <w:rPr>
                <w:sz w:val="20"/>
                <w:szCs w:val="20"/>
                <w:color w:val="auto"/>
              </w:rPr>
            </w:pPr>
            <w:r>
              <w:rPr>
                <w:rFonts w:ascii="Arial" w:cs="Arial" w:eastAsia="Arial" w:hAnsi="Arial"/>
                <w:sz w:val="14"/>
                <w:szCs w:val="14"/>
                <w:b w:val="1"/>
                <w:bCs w:val="1"/>
                <w:color w:val="1478A3"/>
              </w:rPr>
              <w:t>Threshold</w:t>
            </w:r>
          </w:p>
        </w:tc>
        <w:tc>
          <w:tcPr>
            <w:tcW w:w="960" w:type="dxa"/>
            <w:vAlign w:val="bottom"/>
            <w:vMerge w:val="restart"/>
            <w:shd w:val="clear" w:color="auto" w:fill="E3EAEE"/>
          </w:tcPr>
          <w:p>
            <w:pPr>
              <w:jc w:val="center"/>
              <w:ind w:right="96"/>
              <w:spacing w:after="0"/>
              <w:rPr>
                <w:sz w:val="20"/>
                <w:szCs w:val="20"/>
                <w:color w:val="auto"/>
              </w:rPr>
            </w:pPr>
            <w:r>
              <w:rPr>
                <w:rFonts w:ascii="Arial" w:cs="Arial" w:eastAsia="Arial" w:hAnsi="Arial"/>
                <w:sz w:val="14"/>
                <w:szCs w:val="14"/>
                <w:b w:val="1"/>
                <w:bCs w:val="1"/>
                <w:color w:val="1478A3"/>
              </w:rPr>
              <w:t>Target</w:t>
            </w:r>
          </w:p>
        </w:tc>
        <w:tc>
          <w:tcPr>
            <w:tcW w:w="1000" w:type="dxa"/>
            <w:vAlign w:val="bottom"/>
            <w:gridSpan w:val="2"/>
            <w:vMerge w:val="restart"/>
            <w:shd w:val="clear" w:color="auto" w:fill="E3EAEE"/>
          </w:tcPr>
          <w:p>
            <w:pPr>
              <w:jc w:val="center"/>
              <w:ind w:right="100"/>
              <w:spacing w:after="0"/>
              <w:rPr>
                <w:sz w:val="20"/>
                <w:szCs w:val="20"/>
                <w:color w:val="auto"/>
              </w:rPr>
            </w:pPr>
            <w:r>
              <w:rPr>
                <w:rFonts w:ascii="Arial" w:cs="Arial" w:eastAsia="Arial" w:hAnsi="Arial"/>
                <w:sz w:val="14"/>
                <w:szCs w:val="14"/>
                <w:b w:val="1"/>
                <w:bCs w:val="1"/>
                <w:color w:val="1478A3"/>
              </w:rPr>
              <w:t>Maximum</w:t>
            </w:r>
          </w:p>
        </w:tc>
        <w:tc>
          <w:tcPr>
            <w:tcW w:w="1260" w:type="dxa"/>
            <w:vAlign w:val="bottom"/>
            <w:shd w:val="clear" w:color="auto" w:fill="E3EAEE"/>
          </w:tcPr>
          <w:p>
            <w:pPr>
              <w:jc w:val="right"/>
              <w:ind w:right="35"/>
              <w:spacing w:after="0"/>
              <w:rPr>
                <w:sz w:val="20"/>
                <w:szCs w:val="20"/>
                <w:color w:val="auto"/>
              </w:rPr>
            </w:pPr>
            <w:r>
              <w:rPr>
                <w:rFonts w:ascii="Arial" w:cs="Arial" w:eastAsia="Arial" w:hAnsi="Arial"/>
                <w:sz w:val="14"/>
                <w:szCs w:val="14"/>
                <w:b w:val="1"/>
                <w:bCs w:val="1"/>
                <w:color w:val="1478A3"/>
              </w:rPr>
              <w:t>of shares of</w:t>
            </w:r>
          </w:p>
        </w:tc>
        <w:tc>
          <w:tcPr>
            <w:tcW w:w="1560" w:type="dxa"/>
            <w:vAlign w:val="bottom"/>
            <w:shd w:val="clear" w:color="auto" w:fill="E3EAEE"/>
          </w:tcPr>
          <w:p>
            <w:pPr>
              <w:jc w:val="right"/>
              <w:spacing w:after="0"/>
              <w:rPr>
                <w:sz w:val="20"/>
                <w:szCs w:val="20"/>
                <w:color w:val="auto"/>
              </w:rPr>
            </w:pPr>
            <w:r>
              <w:rPr>
                <w:rFonts w:ascii="Arial" w:cs="Arial" w:eastAsia="Arial" w:hAnsi="Arial"/>
                <w:sz w:val="14"/>
                <w:szCs w:val="14"/>
                <w:b w:val="1"/>
                <w:bCs w:val="1"/>
                <w:color w:val="1478A3"/>
              </w:rPr>
              <w:t>of Restricted Stock</w:t>
            </w:r>
          </w:p>
        </w:tc>
        <w:tc>
          <w:tcPr>
            <w:tcW w:w="0" w:type="dxa"/>
            <w:vAlign w:val="bottom"/>
          </w:tcPr>
          <w:p>
            <w:pPr>
              <w:spacing w:after="0"/>
              <w:rPr>
                <w:sz w:val="1"/>
                <w:szCs w:val="1"/>
                <w:color w:val="auto"/>
              </w:rPr>
            </w:pPr>
          </w:p>
        </w:tc>
      </w:tr>
      <w:tr>
        <w:trPr>
          <w:trHeight w:val="164"/>
        </w:trPr>
        <w:tc>
          <w:tcPr>
            <w:tcW w:w="860" w:type="dxa"/>
            <w:vAlign w:val="bottom"/>
            <w:vMerge w:val="continue"/>
          </w:tcPr>
          <w:p>
            <w:pPr>
              <w:spacing w:after="0"/>
              <w:rPr>
                <w:sz w:val="14"/>
                <w:szCs w:val="14"/>
                <w:color w:val="auto"/>
              </w:rPr>
            </w:pPr>
          </w:p>
        </w:tc>
        <w:tc>
          <w:tcPr>
            <w:tcW w:w="120" w:type="dxa"/>
            <w:vAlign w:val="bottom"/>
            <w:shd w:val="clear" w:color="auto" w:fill="E3EAEE"/>
          </w:tcPr>
          <w:p>
            <w:pPr>
              <w:spacing w:after="0"/>
              <w:rPr>
                <w:sz w:val="14"/>
                <w:szCs w:val="14"/>
                <w:color w:val="auto"/>
              </w:rPr>
            </w:pPr>
          </w:p>
        </w:tc>
        <w:tc>
          <w:tcPr>
            <w:tcW w:w="920" w:type="dxa"/>
            <w:vAlign w:val="bottom"/>
            <w:vMerge w:val="continue"/>
            <w:shd w:val="clear" w:color="auto" w:fill="E3EAEE"/>
          </w:tcPr>
          <w:p>
            <w:pPr>
              <w:spacing w:after="0"/>
              <w:rPr>
                <w:sz w:val="14"/>
                <w:szCs w:val="14"/>
                <w:color w:val="auto"/>
              </w:rPr>
            </w:pPr>
          </w:p>
        </w:tc>
        <w:tc>
          <w:tcPr>
            <w:tcW w:w="80" w:type="dxa"/>
            <w:vAlign w:val="bottom"/>
            <w:shd w:val="clear" w:color="auto" w:fill="E3EAEE"/>
          </w:tcPr>
          <w:p>
            <w:pPr>
              <w:spacing w:after="0"/>
              <w:rPr>
                <w:sz w:val="14"/>
                <w:szCs w:val="14"/>
                <w:color w:val="auto"/>
              </w:rPr>
            </w:pPr>
          </w:p>
        </w:tc>
        <w:tc>
          <w:tcPr>
            <w:tcW w:w="880" w:type="dxa"/>
            <w:vAlign w:val="bottom"/>
            <w:vMerge w:val="continue"/>
            <w:shd w:val="clear" w:color="auto" w:fill="E3EAEE"/>
          </w:tcPr>
          <w:p>
            <w:pPr>
              <w:spacing w:after="0"/>
              <w:rPr>
                <w:sz w:val="14"/>
                <w:szCs w:val="14"/>
                <w:color w:val="auto"/>
              </w:rPr>
            </w:pPr>
          </w:p>
        </w:tc>
        <w:tc>
          <w:tcPr>
            <w:tcW w:w="1100" w:type="dxa"/>
            <w:vAlign w:val="bottom"/>
            <w:gridSpan w:val="2"/>
            <w:vMerge w:val="continue"/>
            <w:shd w:val="clear" w:color="auto" w:fill="E3EAEE"/>
          </w:tcPr>
          <w:p>
            <w:pPr>
              <w:spacing w:after="0"/>
              <w:rPr>
                <w:sz w:val="14"/>
                <w:szCs w:val="14"/>
                <w:color w:val="auto"/>
              </w:rPr>
            </w:pPr>
          </w:p>
        </w:tc>
        <w:tc>
          <w:tcPr>
            <w:tcW w:w="1080" w:type="dxa"/>
            <w:vAlign w:val="bottom"/>
            <w:vMerge w:val="continue"/>
            <w:shd w:val="clear" w:color="auto" w:fill="E3EAEE"/>
          </w:tcPr>
          <w:p>
            <w:pPr>
              <w:spacing w:after="0"/>
              <w:rPr>
                <w:sz w:val="14"/>
                <w:szCs w:val="14"/>
                <w:color w:val="auto"/>
              </w:rPr>
            </w:pPr>
          </w:p>
        </w:tc>
        <w:tc>
          <w:tcPr>
            <w:tcW w:w="960" w:type="dxa"/>
            <w:vAlign w:val="bottom"/>
            <w:vMerge w:val="continue"/>
            <w:shd w:val="clear" w:color="auto" w:fill="E3EAEE"/>
          </w:tcPr>
          <w:p>
            <w:pPr>
              <w:spacing w:after="0"/>
              <w:rPr>
                <w:sz w:val="14"/>
                <w:szCs w:val="14"/>
                <w:color w:val="auto"/>
              </w:rPr>
            </w:pPr>
          </w:p>
        </w:tc>
        <w:tc>
          <w:tcPr>
            <w:tcW w:w="1000" w:type="dxa"/>
            <w:vAlign w:val="bottom"/>
            <w:gridSpan w:val="2"/>
            <w:vMerge w:val="continue"/>
            <w:shd w:val="clear" w:color="auto" w:fill="E3EAEE"/>
          </w:tcPr>
          <w:p>
            <w:pPr>
              <w:spacing w:after="0"/>
              <w:rPr>
                <w:sz w:val="14"/>
                <w:szCs w:val="14"/>
                <w:color w:val="auto"/>
              </w:rPr>
            </w:pPr>
          </w:p>
        </w:tc>
        <w:tc>
          <w:tcPr>
            <w:tcW w:w="1260" w:type="dxa"/>
            <w:vAlign w:val="bottom"/>
            <w:shd w:val="clear" w:color="auto" w:fill="E3EAEE"/>
          </w:tcPr>
          <w:p>
            <w:pPr>
              <w:jc w:val="right"/>
              <w:ind w:right="35"/>
              <w:spacing w:after="0" w:line="164" w:lineRule="exact"/>
              <w:rPr>
                <w:sz w:val="20"/>
                <w:szCs w:val="20"/>
                <w:color w:val="auto"/>
              </w:rPr>
            </w:pPr>
            <w:r>
              <w:rPr>
                <w:rFonts w:ascii="Arial" w:cs="Arial" w:eastAsia="Arial" w:hAnsi="Arial"/>
                <w:sz w:val="14"/>
                <w:szCs w:val="14"/>
                <w:b w:val="1"/>
                <w:bCs w:val="1"/>
                <w:color w:val="1478A3"/>
              </w:rPr>
              <w:t>stock or units</w:t>
            </w:r>
            <w:r>
              <w:rPr>
                <w:rFonts w:ascii="Arial" w:cs="Arial" w:eastAsia="Arial" w:hAnsi="Arial"/>
                <w:sz w:val="18"/>
                <w:szCs w:val="18"/>
                <w:b w:val="1"/>
                <w:bCs w:val="1"/>
                <w:color w:val="1478A3"/>
                <w:vertAlign w:val="superscript"/>
              </w:rPr>
              <w:t>(3)</w:t>
            </w:r>
          </w:p>
        </w:tc>
        <w:tc>
          <w:tcPr>
            <w:tcW w:w="1560" w:type="dxa"/>
            <w:vAlign w:val="bottom"/>
            <w:shd w:val="clear" w:color="auto" w:fill="E3EAEE"/>
          </w:tcPr>
          <w:p>
            <w:pPr>
              <w:jc w:val="right"/>
              <w:spacing w:after="0" w:line="164" w:lineRule="exact"/>
              <w:rPr>
                <w:sz w:val="20"/>
                <w:szCs w:val="20"/>
                <w:color w:val="auto"/>
              </w:rPr>
            </w:pPr>
            <w:r>
              <w:rPr>
                <w:rFonts w:ascii="Arial" w:cs="Arial" w:eastAsia="Arial" w:hAnsi="Arial"/>
                <w:sz w:val="14"/>
                <w:szCs w:val="14"/>
                <w:b w:val="1"/>
                <w:bCs w:val="1"/>
                <w:color w:val="1478A3"/>
              </w:rPr>
              <w:t>and LTIP Units</w:t>
            </w:r>
            <w:r>
              <w:rPr>
                <w:rFonts w:ascii="Arial" w:cs="Arial" w:eastAsia="Arial" w:hAnsi="Arial"/>
                <w:sz w:val="18"/>
                <w:szCs w:val="18"/>
                <w:b w:val="1"/>
                <w:bCs w:val="1"/>
                <w:color w:val="1478A3"/>
                <w:vertAlign w:val="superscript"/>
              </w:rPr>
              <w:t>(4)</w:t>
            </w:r>
          </w:p>
        </w:tc>
        <w:tc>
          <w:tcPr>
            <w:tcW w:w="0" w:type="dxa"/>
            <w:vAlign w:val="bottom"/>
          </w:tcPr>
          <w:p>
            <w:pPr>
              <w:spacing w:after="0"/>
              <w:rPr>
                <w:sz w:val="1"/>
                <w:szCs w:val="1"/>
                <w:color w:val="auto"/>
              </w:rPr>
            </w:pPr>
          </w:p>
        </w:tc>
      </w:tr>
      <w:tr>
        <w:trPr>
          <w:trHeight w:val="211"/>
        </w:trPr>
        <w:tc>
          <w:tcPr>
            <w:tcW w:w="860" w:type="dxa"/>
            <w:vAlign w:val="bottom"/>
            <w:tcBorders>
              <w:bottom w:val="single" w:sz="8" w:color="1478A3"/>
            </w:tcBorders>
          </w:tcPr>
          <w:p>
            <w:pPr>
              <w:jc w:val="center"/>
              <w:spacing w:after="0"/>
              <w:rPr>
                <w:sz w:val="20"/>
                <w:szCs w:val="20"/>
                <w:color w:val="auto"/>
              </w:rPr>
            </w:pPr>
            <w:r>
              <w:rPr>
                <w:rFonts w:ascii="Arial" w:cs="Arial" w:eastAsia="Arial" w:hAnsi="Arial"/>
                <w:sz w:val="14"/>
                <w:szCs w:val="14"/>
                <w:b w:val="1"/>
                <w:bCs w:val="1"/>
                <w:color w:val="1478A3"/>
              </w:rPr>
              <w:t>Date</w:t>
            </w:r>
          </w:p>
        </w:tc>
        <w:tc>
          <w:tcPr>
            <w:tcW w:w="1040" w:type="dxa"/>
            <w:vAlign w:val="bottom"/>
            <w:tcBorders>
              <w:bottom w:val="single" w:sz="8" w:color="1478A3"/>
            </w:tcBorders>
            <w:gridSpan w:val="2"/>
            <w:shd w:val="clear" w:color="auto" w:fill="E3EAEE"/>
          </w:tcPr>
          <w:p>
            <w:pPr>
              <w:jc w:val="center"/>
              <w:ind w:left="33"/>
              <w:spacing w:after="0"/>
              <w:rPr>
                <w:sz w:val="20"/>
                <w:szCs w:val="20"/>
                <w:color w:val="auto"/>
              </w:rPr>
            </w:pPr>
            <w:r>
              <w:rPr>
                <w:rFonts w:ascii="Arial" w:cs="Arial" w:eastAsia="Arial" w:hAnsi="Arial"/>
                <w:sz w:val="14"/>
                <w:szCs w:val="14"/>
                <w:b w:val="1"/>
                <w:bCs w:val="1"/>
                <w:color w:val="1478A3"/>
              </w:rPr>
              <w:t>($)</w:t>
            </w:r>
          </w:p>
        </w:tc>
        <w:tc>
          <w:tcPr>
            <w:tcW w:w="960" w:type="dxa"/>
            <w:vAlign w:val="bottom"/>
            <w:tcBorders>
              <w:bottom w:val="single" w:sz="8" w:color="1478A3"/>
            </w:tcBorders>
            <w:gridSpan w:val="2"/>
            <w:shd w:val="clear" w:color="auto" w:fill="E3EAEE"/>
          </w:tcPr>
          <w:p>
            <w:pPr>
              <w:jc w:val="center"/>
              <w:ind w:left="33"/>
              <w:spacing w:after="0"/>
              <w:rPr>
                <w:sz w:val="20"/>
                <w:szCs w:val="20"/>
                <w:color w:val="auto"/>
              </w:rPr>
            </w:pPr>
            <w:r>
              <w:rPr>
                <w:rFonts w:ascii="Arial" w:cs="Arial" w:eastAsia="Arial" w:hAnsi="Arial"/>
                <w:sz w:val="14"/>
                <w:szCs w:val="14"/>
                <w:b w:val="1"/>
                <w:bCs w:val="1"/>
                <w:color w:val="1478A3"/>
              </w:rPr>
              <w:t>($)</w:t>
            </w:r>
          </w:p>
        </w:tc>
        <w:tc>
          <w:tcPr>
            <w:tcW w:w="1020" w:type="dxa"/>
            <w:vAlign w:val="bottom"/>
            <w:tcBorders>
              <w:bottom w:val="single" w:sz="8" w:color="1478A3"/>
            </w:tcBorders>
            <w:shd w:val="clear" w:color="auto" w:fill="E3EAEE"/>
          </w:tcPr>
          <w:p>
            <w:pPr>
              <w:jc w:val="right"/>
              <w:ind w:right="313"/>
              <w:spacing w:after="0"/>
              <w:rPr>
                <w:sz w:val="20"/>
                <w:szCs w:val="20"/>
                <w:color w:val="auto"/>
              </w:rPr>
            </w:pPr>
            <w:r>
              <w:rPr>
                <w:rFonts w:ascii="Arial" w:cs="Arial" w:eastAsia="Arial" w:hAnsi="Arial"/>
                <w:sz w:val="14"/>
                <w:szCs w:val="14"/>
                <w:b w:val="1"/>
                <w:bCs w:val="1"/>
                <w:color w:val="1478A3"/>
              </w:rPr>
              <w:t>($)</w:t>
            </w:r>
          </w:p>
        </w:tc>
        <w:tc>
          <w:tcPr>
            <w:tcW w:w="80" w:type="dxa"/>
            <w:vAlign w:val="bottom"/>
            <w:tcBorders>
              <w:bottom w:val="single" w:sz="8" w:color="1478A3"/>
            </w:tcBorders>
            <w:shd w:val="clear" w:color="auto" w:fill="E3EAEE"/>
          </w:tcPr>
          <w:p>
            <w:pPr>
              <w:spacing w:after="0"/>
              <w:rPr>
                <w:sz w:val="18"/>
                <w:szCs w:val="18"/>
                <w:color w:val="auto"/>
              </w:rPr>
            </w:pPr>
          </w:p>
        </w:tc>
        <w:tc>
          <w:tcPr>
            <w:tcW w:w="1080" w:type="dxa"/>
            <w:vAlign w:val="bottom"/>
            <w:tcBorders>
              <w:bottom w:val="single" w:sz="8" w:color="1478A3"/>
            </w:tcBorders>
            <w:shd w:val="clear" w:color="auto" w:fill="E3EAEE"/>
          </w:tcPr>
          <w:p>
            <w:pPr>
              <w:jc w:val="right"/>
              <w:ind w:right="455"/>
              <w:spacing w:after="0"/>
              <w:rPr>
                <w:sz w:val="20"/>
                <w:szCs w:val="20"/>
                <w:color w:val="auto"/>
              </w:rPr>
            </w:pPr>
            <w:r>
              <w:rPr>
                <w:rFonts w:ascii="Arial" w:cs="Arial" w:eastAsia="Arial" w:hAnsi="Arial"/>
                <w:sz w:val="14"/>
                <w:szCs w:val="14"/>
                <w:b w:val="1"/>
                <w:bCs w:val="1"/>
                <w:color w:val="1478A3"/>
              </w:rPr>
              <w:t>(#)</w:t>
            </w:r>
          </w:p>
        </w:tc>
        <w:tc>
          <w:tcPr>
            <w:tcW w:w="960" w:type="dxa"/>
            <w:vAlign w:val="bottom"/>
            <w:tcBorders>
              <w:bottom w:val="single" w:sz="8" w:color="1478A3"/>
            </w:tcBorders>
            <w:shd w:val="clear" w:color="auto" w:fill="E3EAEE"/>
          </w:tcPr>
          <w:p>
            <w:pPr>
              <w:jc w:val="center"/>
              <w:ind w:right="116"/>
              <w:spacing w:after="0"/>
              <w:rPr>
                <w:sz w:val="20"/>
                <w:szCs w:val="20"/>
                <w:color w:val="auto"/>
              </w:rPr>
            </w:pPr>
            <w:r>
              <w:rPr>
                <w:rFonts w:ascii="Arial" w:cs="Arial" w:eastAsia="Arial" w:hAnsi="Arial"/>
                <w:sz w:val="14"/>
                <w:szCs w:val="14"/>
                <w:b w:val="1"/>
                <w:bCs w:val="1"/>
                <w:color w:val="1478A3"/>
              </w:rPr>
              <w:t>(#)</w:t>
            </w:r>
          </w:p>
        </w:tc>
        <w:tc>
          <w:tcPr>
            <w:tcW w:w="920" w:type="dxa"/>
            <w:vAlign w:val="bottom"/>
            <w:tcBorders>
              <w:bottom w:val="single" w:sz="8" w:color="1478A3"/>
            </w:tcBorders>
            <w:shd w:val="clear" w:color="auto" w:fill="E3EAEE"/>
          </w:tcPr>
          <w:p>
            <w:pPr>
              <w:jc w:val="right"/>
              <w:ind w:right="316"/>
              <w:spacing w:after="0"/>
              <w:rPr>
                <w:sz w:val="20"/>
                <w:szCs w:val="20"/>
                <w:color w:val="auto"/>
              </w:rPr>
            </w:pPr>
            <w:r>
              <w:rPr>
                <w:rFonts w:ascii="Arial" w:cs="Arial" w:eastAsia="Arial" w:hAnsi="Arial"/>
                <w:sz w:val="14"/>
                <w:szCs w:val="14"/>
                <w:b w:val="1"/>
                <w:bCs w:val="1"/>
                <w:color w:val="1478A3"/>
              </w:rPr>
              <w:t>(#)</w:t>
            </w:r>
          </w:p>
        </w:tc>
        <w:tc>
          <w:tcPr>
            <w:tcW w:w="80" w:type="dxa"/>
            <w:vAlign w:val="bottom"/>
            <w:tcBorders>
              <w:bottom w:val="single" w:sz="8" w:color="1478A3"/>
            </w:tcBorders>
            <w:shd w:val="clear" w:color="auto" w:fill="E3EAEE"/>
          </w:tcPr>
          <w:p>
            <w:pPr>
              <w:spacing w:after="0"/>
              <w:rPr>
                <w:sz w:val="18"/>
                <w:szCs w:val="18"/>
                <w:color w:val="auto"/>
              </w:rPr>
            </w:pPr>
          </w:p>
        </w:tc>
        <w:tc>
          <w:tcPr>
            <w:tcW w:w="1260" w:type="dxa"/>
            <w:vAlign w:val="bottom"/>
            <w:tcBorders>
              <w:bottom w:val="single" w:sz="8" w:color="1478A3"/>
            </w:tcBorders>
            <w:shd w:val="clear" w:color="auto" w:fill="E3EAEE"/>
          </w:tcPr>
          <w:p>
            <w:pPr>
              <w:jc w:val="right"/>
              <w:ind w:right="35"/>
              <w:spacing w:after="0"/>
              <w:rPr>
                <w:sz w:val="20"/>
                <w:szCs w:val="20"/>
                <w:color w:val="auto"/>
              </w:rPr>
            </w:pPr>
            <w:r>
              <w:rPr>
                <w:rFonts w:ascii="Arial" w:cs="Arial" w:eastAsia="Arial" w:hAnsi="Arial"/>
                <w:sz w:val="14"/>
                <w:szCs w:val="14"/>
                <w:b w:val="1"/>
                <w:bCs w:val="1"/>
                <w:color w:val="1478A3"/>
              </w:rPr>
              <w:t>(#)</w:t>
            </w:r>
          </w:p>
        </w:tc>
        <w:tc>
          <w:tcPr>
            <w:tcW w:w="1560" w:type="dxa"/>
            <w:vAlign w:val="bottom"/>
            <w:tcBorders>
              <w:bottom w:val="single" w:sz="8" w:color="1478A3"/>
            </w:tcBorders>
            <w:shd w:val="clear" w:color="auto" w:fill="E3EAEE"/>
          </w:tcPr>
          <w:p>
            <w:pPr>
              <w:jc w:val="right"/>
              <w:spacing w:after="0"/>
              <w:rPr>
                <w:sz w:val="20"/>
                <w:szCs w:val="20"/>
                <w:color w:val="auto"/>
              </w:rPr>
            </w:pPr>
            <w:r>
              <w:rPr>
                <w:rFonts w:ascii="Arial" w:cs="Arial" w:eastAsia="Arial" w:hAnsi="Arial"/>
                <w:sz w:val="14"/>
                <w:szCs w:val="14"/>
                <w:b w:val="1"/>
                <w:bCs w:val="1"/>
                <w:color w:val="1478A3"/>
              </w:rPr>
              <w:t>($)</w:t>
            </w:r>
          </w:p>
        </w:tc>
        <w:tc>
          <w:tcPr>
            <w:tcW w:w="0" w:type="dxa"/>
            <w:vAlign w:val="bottom"/>
          </w:tcPr>
          <w:p>
            <w:pPr>
              <w:spacing w:after="0"/>
              <w:rPr>
                <w:sz w:val="1"/>
                <w:szCs w:val="1"/>
                <w:color w:val="auto"/>
              </w:rPr>
            </w:pPr>
          </w:p>
        </w:tc>
      </w:tr>
      <w:tr>
        <w:trPr>
          <w:trHeight w:val="278"/>
        </w:trPr>
        <w:tc>
          <w:tcPr>
            <w:tcW w:w="860" w:type="dxa"/>
            <w:vAlign w:val="bottom"/>
          </w:tcPr>
          <w:p>
            <w:pPr>
              <w:jc w:val="center"/>
              <w:spacing w:after="0"/>
              <w:rPr>
                <w:sz w:val="20"/>
                <w:szCs w:val="20"/>
                <w:color w:val="auto"/>
              </w:rPr>
            </w:pPr>
            <w:r>
              <w:rPr>
                <w:rFonts w:ascii="Arial" w:cs="Arial" w:eastAsia="Arial" w:hAnsi="Arial"/>
                <w:sz w:val="13"/>
                <w:szCs w:val="13"/>
                <w:color w:val="3E474E"/>
                <w:w w:val="96"/>
              </w:rPr>
              <w:t>6/20/2025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155"/>
              <w:spacing w:after="0"/>
              <w:rPr>
                <w:sz w:val="20"/>
                <w:szCs w:val="20"/>
                <w:color w:val="auto"/>
              </w:rPr>
            </w:pPr>
            <w:r>
              <w:rPr>
                <w:rFonts w:ascii="Arial" w:cs="Arial" w:eastAsia="Arial" w:hAnsi="Arial"/>
                <w:sz w:val="13"/>
                <w:szCs w:val="13"/>
                <w:color w:val="3E474E"/>
              </w:rPr>
              <w:t>—</w:t>
            </w:r>
          </w:p>
        </w:tc>
        <w:tc>
          <w:tcPr>
            <w:tcW w:w="960" w:type="dxa"/>
            <w:vAlign w:val="bottom"/>
          </w:tcPr>
          <w:p>
            <w:pPr>
              <w:jc w:val="right"/>
              <w:ind w:right="96"/>
              <w:spacing w:after="0"/>
              <w:rPr>
                <w:sz w:val="20"/>
                <w:szCs w:val="20"/>
                <w:color w:val="auto"/>
              </w:rPr>
            </w:pPr>
            <w:r>
              <w:rPr>
                <w:rFonts w:ascii="Arial" w:cs="Arial" w:eastAsia="Arial" w:hAnsi="Arial"/>
                <w:sz w:val="13"/>
                <w:szCs w:val="13"/>
                <w:color w:val="3E474E"/>
              </w:rPr>
              <w:t>379,556</w:t>
            </w:r>
          </w:p>
        </w:tc>
        <w:tc>
          <w:tcPr>
            <w:tcW w:w="920" w:type="dxa"/>
            <w:vAlign w:val="bottom"/>
          </w:tcPr>
          <w:p>
            <w:pPr>
              <w:jc w:val="right"/>
              <w:spacing w:after="0"/>
              <w:rPr>
                <w:sz w:val="20"/>
                <w:szCs w:val="20"/>
                <w:color w:val="auto"/>
              </w:rPr>
            </w:pPr>
            <w:r>
              <w:rPr>
                <w:rFonts w:ascii="Arial" w:cs="Arial" w:eastAsia="Arial" w:hAnsi="Arial"/>
                <w:sz w:val="13"/>
                <w:szCs w:val="13"/>
                <w:color w:val="3E474E"/>
              </w:rPr>
              <w:t>759,110</w:t>
            </w:r>
          </w:p>
        </w:tc>
        <w:tc>
          <w:tcPr>
            <w:tcW w:w="80" w:type="dxa"/>
            <w:vAlign w:val="bottom"/>
          </w:tcPr>
          <w:p>
            <w:pPr>
              <w:spacing w:after="0"/>
              <w:rPr>
                <w:sz w:val="24"/>
                <w:szCs w:val="24"/>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3E474E"/>
              </w:rPr>
              <w:t>N/A</w:t>
            </w:r>
          </w:p>
        </w:tc>
        <w:tc>
          <w:tcPr>
            <w:tcW w:w="1560" w:type="dxa"/>
            <w:vAlign w:val="bottom"/>
          </w:tcPr>
          <w:p>
            <w:pPr>
              <w:jc w:val="right"/>
              <w:spacing w:after="0"/>
              <w:rPr>
                <w:sz w:val="20"/>
                <w:szCs w:val="20"/>
                <w:color w:val="auto"/>
              </w:rPr>
            </w:pPr>
            <w:r>
              <w:rPr>
                <w:rFonts w:ascii="Arial" w:cs="Arial" w:eastAsia="Arial" w:hAnsi="Arial"/>
                <w:sz w:val="13"/>
                <w:szCs w:val="13"/>
                <w:color w:val="3E474E"/>
              </w:rPr>
              <w:t>1,769,865</w:t>
            </w:r>
          </w:p>
        </w:tc>
        <w:tc>
          <w:tcPr>
            <w:tcW w:w="0" w:type="dxa"/>
            <w:vAlign w:val="bottom"/>
          </w:tcPr>
          <w:p>
            <w:pPr>
              <w:spacing w:after="0"/>
              <w:rPr>
                <w:sz w:val="1"/>
                <w:szCs w:val="1"/>
                <w:color w:val="auto"/>
              </w:rPr>
            </w:pPr>
          </w:p>
        </w:tc>
      </w:tr>
      <w:tr>
        <w:trPr>
          <w:trHeight w:val="418"/>
        </w:trPr>
        <w:tc>
          <w:tcPr>
            <w:tcW w:w="860" w:type="dxa"/>
            <w:vAlign w:val="bottom"/>
          </w:tcPr>
          <w:p>
            <w:pPr>
              <w:jc w:val="center"/>
              <w:spacing w:after="0"/>
              <w:rPr>
                <w:sz w:val="20"/>
                <w:szCs w:val="20"/>
                <w:color w:val="auto"/>
              </w:rPr>
            </w:pPr>
            <w:r>
              <w:rPr>
                <w:rFonts w:ascii="Arial" w:cs="Arial" w:eastAsia="Arial" w:hAnsi="Arial"/>
                <w:sz w:val="13"/>
                <w:szCs w:val="13"/>
                <w:color w:val="3E474E"/>
                <w:w w:val="98"/>
              </w:rPr>
              <w:t>3/3/2025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95"/>
              <w:spacing w:after="0"/>
              <w:rPr>
                <w:sz w:val="20"/>
                <w:szCs w:val="20"/>
                <w:color w:val="auto"/>
              </w:rPr>
            </w:pPr>
            <w:r>
              <w:rPr>
                <w:rFonts w:ascii="Arial" w:cs="Arial" w:eastAsia="Arial" w:hAnsi="Arial"/>
                <w:sz w:val="13"/>
                <w:szCs w:val="13"/>
                <w:color w:val="3E474E"/>
              </w:rPr>
              <w:t>N/A</w:t>
            </w:r>
          </w:p>
        </w:tc>
        <w:tc>
          <w:tcPr>
            <w:tcW w:w="960" w:type="dxa"/>
            <w:vAlign w:val="bottom"/>
          </w:tcPr>
          <w:p>
            <w:pPr>
              <w:jc w:val="right"/>
              <w:ind w:right="56"/>
              <w:spacing w:after="0"/>
              <w:rPr>
                <w:sz w:val="20"/>
                <w:szCs w:val="20"/>
                <w:color w:val="auto"/>
              </w:rPr>
            </w:pPr>
            <w:r>
              <w:rPr>
                <w:rFonts w:ascii="Arial" w:cs="Arial" w:eastAsia="Arial" w:hAnsi="Arial"/>
                <w:sz w:val="13"/>
                <w:szCs w:val="13"/>
                <w:color w:val="3E474E"/>
              </w:rPr>
              <w:t>N/A</w:t>
            </w:r>
          </w:p>
        </w:tc>
        <w:tc>
          <w:tcPr>
            <w:tcW w:w="1000" w:type="dxa"/>
            <w:vAlign w:val="bottom"/>
            <w:gridSpan w:val="2"/>
          </w:tcPr>
          <w:p>
            <w:pPr>
              <w:ind w:left="680"/>
              <w:spacing w:after="0"/>
              <w:rPr>
                <w:sz w:val="20"/>
                <w:szCs w:val="20"/>
                <w:color w:val="auto"/>
              </w:rPr>
            </w:pPr>
            <w:r>
              <w:rPr>
                <w:rFonts w:ascii="Arial" w:cs="Arial" w:eastAsia="Arial" w:hAnsi="Arial"/>
                <w:sz w:val="13"/>
                <w:szCs w:val="13"/>
                <w:color w:val="3E474E"/>
              </w:rPr>
              <w:t>N/A</w:t>
            </w:r>
          </w:p>
        </w:tc>
        <w:tc>
          <w:tcPr>
            <w:tcW w:w="1260" w:type="dxa"/>
            <w:vAlign w:val="bottom"/>
          </w:tcPr>
          <w:p>
            <w:pPr>
              <w:jc w:val="right"/>
              <w:ind w:right="75"/>
              <w:spacing w:after="0"/>
              <w:rPr>
                <w:sz w:val="20"/>
                <w:szCs w:val="20"/>
                <w:color w:val="auto"/>
              </w:rPr>
            </w:pPr>
            <w:r>
              <w:rPr>
                <w:rFonts w:ascii="Arial" w:cs="Arial" w:eastAsia="Arial" w:hAnsi="Arial"/>
                <w:sz w:val="13"/>
                <w:szCs w:val="13"/>
                <w:color w:val="3E474E"/>
              </w:rPr>
              <w:t>93,509</w:t>
            </w:r>
          </w:p>
        </w:tc>
        <w:tc>
          <w:tcPr>
            <w:tcW w:w="1560" w:type="dxa"/>
            <w:vAlign w:val="bottom"/>
          </w:tcPr>
          <w:p>
            <w:pPr>
              <w:jc w:val="right"/>
              <w:spacing w:after="0"/>
              <w:rPr>
                <w:sz w:val="20"/>
                <w:szCs w:val="20"/>
                <w:color w:val="auto"/>
              </w:rPr>
            </w:pPr>
            <w:r>
              <w:rPr>
                <w:rFonts w:ascii="Arial" w:cs="Arial" w:eastAsia="Arial" w:hAnsi="Arial"/>
                <w:sz w:val="13"/>
                <w:szCs w:val="13"/>
                <w:color w:val="3E474E"/>
              </w:rPr>
              <w:t>792,021</w:t>
            </w: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3"/>
                <w:szCs w:val="13"/>
                <w:color w:val="3E474E"/>
                <w:w w:val="98"/>
              </w:rPr>
              <w:t>3/3/2025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155"/>
              <w:spacing w:after="0"/>
              <w:rPr>
                <w:sz w:val="20"/>
                <w:szCs w:val="20"/>
                <w:color w:val="auto"/>
              </w:rPr>
            </w:pPr>
            <w:r>
              <w:rPr>
                <w:rFonts w:ascii="Arial" w:cs="Arial" w:eastAsia="Arial" w:hAnsi="Arial"/>
                <w:sz w:val="13"/>
                <w:szCs w:val="13"/>
                <w:color w:val="3E474E"/>
              </w:rPr>
              <w:t>41,254</w:t>
            </w:r>
          </w:p>
        </w:tc>
        <w:tc>
          <w:tcPr>
            <w:tcW w:w="960" w:type="dxa"/>
            <w:vAlign w:val="bottom"/>
          </w:tcPr>
          <w:p>
            <w:pPr>
              <w:jc w:val="right"/>
              <w:ind w:right="96"/>
              <w:spacing w:after="0"/>
              <w:rPr>
                <w:sz w:val="20"/>
                <w:szCs w:val="20"/>
                <w:color w:val="auto"/>
              </w:rPr>
            </w:pPr>
            <w:r>
              <w:rPr>
                <w:rFonts w:ascii="Arial" w:cs="Arial" w:eastAsia="Arial" w:hAnsi="Arial"/>
                <w:sz w:val="13"/>
                <w:szCs w:val="13"/>
                <w:color w:val="3E474E"/>
              </w:rPr>
              <w:t>82,508</w:t>
            </w:r>
          </w:p>
        </w:tc>
        <w:tc>
          <w:tcPr>
            <w:tcW w:w="920" w:type="dxa"/>
            <w:vAlign w:val="bottom"/>
          </w:tcPr>
          <w:p>
            <w:pPr>
              <w:jc w:val="right"/>
              <w:spacing w:after="0"/>
              <w:rPr>
                <w:sz w:val="20"/>
                <w:szCs w:val="20"/>
                <w:color w:val="auto"/>
              </w:rPr>
            </w:pPr>
            <w:r>
              <w:rPr>
                <w:rFonts w:ascii="Arial" w:cs="Arial" w:eastAsia="Arial" w:hAnsi="Arial"/>
                <w:sz w:val="13"/>
                <w:szCs w:val="13"/>
                <w:color w:val="3E474E"/>
              </w:rPr>
              <w:t>165,016</w:t>
            </w:r>
          </w:p>
        </w:tc>
        <w:tc>
          <w:tcPr>
            <w:tcW w:w="80" w:type="dxa"/>
            <w:vAlign w:val="bottom"/>
          </w:tcPr>
          <w:p>
            <w:pPr>
              <w:spacing w:after="0"/>
              <w:rPr>
                <w:sz w:val="24"/>
                <w:szCs w:val="24"/>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3E474E"/>
              </w:rPr>
              <w:t>N/A</w:t>
            </w:r>
          </w:p>
        </w:tc>
        <w:tc>
          <w:tcPr>
            <w:tcW w:w="1560" w:type="dxa"/>
            <w:vAlign w:val="bottom"/>
          </w:tcPr>
          <w:p>
            <w:pPr>
              <w:jc w:val="right"/>
              <w:spacing w:after="0"/>
              <w:rPr>
                <w:sz w:val="20"/>
                <w:szCs w:val="20"/>
                <w:color w:val="auto"/>
              </w:rPr>
            </w:pPr>
            <w:r>
              <w:rPr>
                <w:rFonts w:ascii="Arial" w:cs="Arial" w:eastAsia="Arial" w:hAnsi="Arial"/>
                <w:sz w:val="13"/>
                <w:szCs w:val="13"/>
                <w:color w:val="3E474E"/>
              </w:rPr>
              <w:t>937,291</w:t>
            </w: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3"/>
                <w:szCs w:val="13"/>
                <w:color w:val="3E474E"/>
                <w:w w:val="98"/>
              </w:rPr>
              <w:t>3/3/2025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95"/>
              <w:spacing w:after="0"/>
              <w:rPr>
                <w:sz w:val="20"/>
                <w:szCs w:val="20"/>
                <w:color w:val="auto"/>
              </w:rPr>
            </w:pPr>
            <w:r>
              <w:rPr>
                <w:rFonts w:ascii="Arial" w:cs="Arial" w:eastAsia="Arial" w:hAnsi="Arial"/>
                <w:sz w:val="13"/>
                <w:szCs w:val="13"/>
                <w:color w:val="3E474E"/>
              </w:rPr>
              <w:t>N/A</w:t>
            </w:r>
          </w:p>
        </w:tc>
        <w:tc>
          <w:tcPr>
            <w:tcW w:w="960" w:type="dxa"/>
            <w:vAlign w:val="bottom"/>
          </w:tcPr>
          <w:p>
            <w:pPr>
              <w:jc w:val="right"/>
              <w:ind w:right="56"/>
              <w:spacing w:after="0"/>
              <w:rPr>
                <w:sz w:val="20"/>
                <w:szCs w:val="20"/>
                <w:color w:val="auto"/>
              </w:rPr>
            </w:pPr>
            <w:r>
              <w:rPr>
                <w:rFonts w:ascii="Arial" w:cs="Arial" w:eastAsia="Arial" w:hAnsi="Arial"/>
                <w:sz w:val="13"/>
                <w:szCs w:val="13"/>
                <w:color w:val="3E474E"/>
              </w:rPr>
              <w:t>N/A</w:t>
            </w:r>
          </w:p>
        </w:tc>
        <w:tc>
          <w:tcPr>
            <w:tcW w:w="1000" w:type="dxa"/>
            <w:vAlign w:val="bottom"/>
            <w:gridSpan w:val="2"/>
          </w:tcPr>
          <w:p>
            <w:pPr>
              <w:ind w:left="680"/>
              <w:spacing w:after="0"/>
              <w:rPr>
                <w:sz w:val="20"/>
                <w:szCs w:val="20"/>
                <w:color w:val="auto"/>
              </w:rPr>
            </w:pPr>
            <w:r>
              <w:rPr>
                <w:rFonts w:ascii="Arial" w:cs="Arial" w:eastAsia="Arial" w:hAnsi="Arial"/>
                <w:sz w:val="13"/>
                <w:szCs w:val="13"/>
                <w:color w:val="3E474E"/>
              </w:rPr>
              <w:t>N/A</w:t>
            </w:r>
          </w:p>
        </w:tc>
        <w:tc>
          <w:tcPr>
            <w:tcW w:w="1260" w:type="dxa"/>
            <w:vAlign w:val="bottom"/>
          </w:tcPr>
          <w:p>
            <w:pPr>
              <w:jc w:val="right"/>
              <w:ind w:right="75"/>
              <w:spacing w:after="0"/>
              <w:rPr>
                <w:sz w:val="20"/>
                <w:szCs w:val="20"/>
                <w:color w:val="auto"/>
              </w:rPr>
            </w:pPr>
            <w:r>
              <w:rPr>
                <w:rFonts w:ascii="Arial" w:cs="Arial" w:eastAsia="Arial" w:hAnsi="Arial"/>
                <w:sz w:val="13"/>
                <w:szCs w:val="13"/>
                <w:color w:val="3E474E"/>
              </w:rPr>
              <w:t>111,386</w:t>
            </w:r>
          </w:p>
        </w:tc>
        <w:tc>
          <w:tcPr>
            <w:tcW w:w="1560" w:type="dxa"/>
            <w:vAlign w:val="bottom"/>
          </w:tcPr>
          <w:p>
            <w:pPr>
              <w:jc w:val="right"/>
              <w:spacing w:after="0"/>
              <w:rPr>
                <w:sz w:val="20"/>
                <w:szCs w:val="20"/>
                <w:color w:val="auto"/>
              </w:rPr>
            </w:pPr>
            <w:r>
              <w:rPr>
                <w:rFonts w:ascii="Arial" w:cs="Arial" w:eastAsia="Arial" w:hAnsi="Arial"/>
                <w:sz w:val="13"/>
                <w:szCs w:val="13"/>
                <w:color w:val="3E474E"/>
              </w:rPr>
              <w:t>912,251</w:t>
            </w: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3"/>
                <w:szCs w:val="13"/>
                <w:color w:val="3E474E"/>
                <w:w w:val="98"/>
              </w:rPr>
              <w:t>3/3/2025</w:t>
            </w:r>
          </w:p>
        </w:tc>
        <w:tc>
          <w:tcPr>
            <w:tcW w:w="1040" w:type="dxa"/>
            <w:vAlign w:val="bottom"/>
            <w:gridSpan w:val="2"/>
          </w:tcPr>
          <w:p>
            <w:pPr>
              <w:jc w:val="center"/>
              <w:ind w:left="33"/>
              <w:spacing w:after="0"/>
              <w:rPr>
                <w:sz w:val="20"/>
                <w:szCs w:val="20"/>
                <w:color w:val="auto"/>
              </w:rPr>
            </w:pPr>
            <w:r>
              <w:rPr>
                <w:rFonts w:ascii="Arial" w:cs="Arial" w:eastAsia="Arial" w:hAnsi="Arial"/>
                <w:sz w:val="13"/>
                <w:szCs w:val="13"/>
                <w:color w:val="3E474E"/>
                <w:w w:val="97"/>
              </w:rPr>
              <w:t>387,500</w:t>
            </w:r>
          </w:p>
        </w:tc>
        <w:tc>
          <w:tcPr>
            <w:tcW w:w="960" w:type="dxa"/>
            <w:vAlign w:val="bottom"/>
            <w:gridSpan w:val="2"/>
          </w:tcPr>
          <w:p>
            <w:pPr>
              <w:jc w:val="center"/>
              <w:ind w:left="33"/>
              <w:spacing w:after="0"/>
              <w:rPr>
                <w:sz w:val="20"/>
                <w:szCs w:val="20"/>
                <w:color w:val="auto"/>
              </w:rPr>
            </w:pPr>
            <w:r>
              <w:rPr>
                <w:rFonts w:ascii="Arial" w:cs="Arial" w:eastAsia="Arial" w:hAnsi="Arial"/>
                <w:sz w:val="13"/>
                <w:szCs w:val="13"/>
                <w:color w:val="3E474E"/>
                <w:w w:val="97"/>
              </w:rPr>
              <w:t>775,000</w:t>
            </w:r>
          </w:p>
        </w:tc>
        <w:tc>
          <w:tcPr>
            <w:tcW w:w="1020" w:type="dxa"/>
            <w:vAlign w:val="bottom"/>
          </w:tcPr>
          <w:p>
            <w:pPr>
              <w:jc w:val="right"/>
              <w:spacing w:after="0"/>
              <w:rPr>
                <w:sz w:val="20"/>
                <w:szCs w:val="20"/>
                <w:color w:val="auto"/>
              </w:rPr>
            </w:pPr>
            <w:r>
              <w:rPr>
                <w:rFonts w:ascii="Arial" w:cs="Arial" w:eastAsia="Arial" w:hAnsi="Arial"/>
                <w:sz w:val="13"/>
                <w:szCs w:val="13"/>
                <w:color w:val="3E474E"/>
              </w:rPr>
              <w:t>1,162,500</w:t>
            </w:r>
          </w:p>
        </w:tc>
        <w:tc>
          <w:tcPr>
            <w:tcW w:w="80" w:type="dxa"/>
            <w:vAlign w:val="bottom"/>
          </w:tcPr>
          <w:p>
            <w:pPr>
              <w:spacing w:after="0"/>
              <w:rPr>
                <w:sz w:val="24"/>
                <w:szCs w:val="24"/>
                <w:color w:val="auto"/>
              </w:rPr>
            </w:pPr>
          </w:p>
        </w:tc>
        <w:tc>
          <w:tcPr>
            <w:tcW w:w="1080" w:type="dxa"/>
            <w:vAlign w:val="bottom"/>
          </w:tcPr>
          <w:p>
            <w:pPr>
              <w:jc w:val="right"/>
              <w:ind w:right="95"/>
              <w:spacing w:after="0"/>
              <w:rPr>
                <w:sz w:val="20"/>
                <w:szCs w:val="20"/>
                <w:color w:val="auto"/>
              </w:rPr>
            </w:pPr>
            <w:r>
              <w:rPr>
                <w:rFonts w:ascii="Arial" w:cs="Arial" w:eastAsia="Arial" w:hAnsi="Arial"/>
                <w:sz w:val="13"/>
                <w:szCs w:val="13"/>
                <w:color w:val="3E474E"/>
              </w:rPr>
              <w:t>N/A</w:t>
            </w:r>
          </w:p>
        </w:tc>
        <w:tc>
          <w:tcPr>
            <w:tcW w:w="960" w:type="dxa"/>
            <w:vAlign w:val="bottom"/>
          </w:tcPr>
          <w:p>
            <w:pPr>
              <w:jc w:val="right"/>
              <w:ind w:right="56"/>
              <w:spacing w:after="0"/>
              <w:rPr>
                <w:sz w:val="20"/>
                <w:szCs w:val="20"/>
                <w:color w:val="auto"/>
              </w:rPr>
            </w:pPr>
            <w:r>
              <w:rPr>
                <w:rFonts w:ascii="Arial" w:cs="Arial" w:eastAsia="Arial" w:hAnsi="Arial"/>
                <w:sz w:val="13"/>
                <w:szCs w:val="13"/>
                <w:color w:val="3E474E"/>
              </w:rPr>
              <w:t>N/A</w:t>
            </w:r>
          </w:p>
        </w:tc>
        <w:tc>
          <w:tcPr>
            <w:tcW w:w="1000" w:type="dxa"/>
            <w:vAlign w:val="bottom"/>
            <w:gridSpan w:val="2"/>
          </w:tcPr>
          <w:p>
            <w:pPr>
              <w:ind w:left="680"/>
              <w:spacing w:after="0"/>
              <w:rPr>
                <w:sz w:val="20"/>
                <w:szCs w:val="20"/>
                <w:color w:val="auto"/>
              </w:rPr>
            </w:pPr>
            <w:r>
              <w:rPr>
                <w:rFonts w:ascii="Arial" w:cs="Arial" w:eastAsia="Arial" w:hAnsi="Arial"/>
                <w:sz w:val="13"/>
                <w:szCs w:val="13"/>
                <w:color w:val="3E474E"/>
              </w:rPr>
              <w:t>N/A</w:t>
            </w:r>
          </w:p>
        </w:tc>
        <w:tc>
          <w:tcPr>
            <w:tcW w:w="1260" w:type="dxa"/>
            <w:vAlign w:val="bottom"/>
          </w:tcPr>
          <w:p>
            <w:pPr>
              <w:jc w:val="right"/>
              <w:ind w:right="35"/>
              <w:spacing w:after="0"/>
              <w:rPr>
                <w:sz w:val="20"/>
                <w:szCs w:val="20"/>
                <w:color w:val="auto"/>
              </w:rPr>
            </w:pPr>
            <w:r>
              <w:rPr>
                <w:rFonts w:ascii="Arial" w:cs="Arial" w:eastAsia="Arial" w:hAnsi="Arial"/>
                <w:sz w:val="13"/>
                <w:szCs w:val="13"/>
                <w:color w:val="3E474E"/>
              </w:rPr>
              <w:t>N/A</w:t>
            </w:r>
          </w:p>
        </w:tc>
        <w:tc>
          <w:tcPr>
            <w:tcW w:w="1560" w:type="dxa"/>
            <w:vAlign w:val="bottom"/>
          </w:tcPr>
          <w:p>
            <w:pPr>
              <w:jc w:val="right"/>
              <w:spacing w:after="0"/>
              <w:rPr>
                <w:sz w:val="20"/>
                <w:szCs w:val="20"/>
                <w:color w:val="auto"/>
              </w:rPr>
            </w:pPr>
            <w:r>
              <w:rPr>
                <w:rFonts w:ascii="Arial" w:cs="Arial" w:eastAsia="Arial" w:hAnsi="Arial"/>
                <w:sz w:val="13"/>
                <w:szCs w:val="13"/>
                <w:color w:val="3E474E"/>
              </w:rPr>
              <w:t>N/A</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860" w:type="dxa"/>
            <w:vAlign w:val="bottom"/>
            <w:shd w:val="clear" w:color="auto" w:fill="E3EAEE"/>
          </w:tcPr>
          <w:p>
            <w:pPr>
              <w:jc w:val="center"/>
              <w:spacing w:after="0"/>
              <w:rPr>
                <w:sz w:val="20"/>
                <w:szCs w:val="20"/>
                <w:color w:val="auto"/>
              </w:rPr>
            </w:pPr>
            <w:r>
              <w:rPr>
                <w:rFonts w:ascii="Arial" w:cs="Arial" w:eastAsia="Arial" w:hAnsi="Arial"/>
                <w:sz w:val="13"/>
                <w:szCs w:val="13"/>
                <w:color w:val="3E474E"/>
                <w:w w:val="96"/>
              </w:rPr>
              <w:t>6/20/2025</w:t>
            </w:r>
          </w:p>
        </w:tc>
        <w:tc>
          <w:tcPr>
            <w:tcW w:w="120" w:type="dxa"/>
            <w:vAlign w:val="bottom"/>
            <w:shd w:val="clear" w:color="auto" w:fill="E3EAEE"/>
          </w:tcPr>
          <w:p>
            <w:pPr>
              <w:spacing w:after="0"/>
              <w:rPr>
                <w:sz w:val="24"/>
                <w:szCs w:val="24"/>
                <w:color w:val="auto"/>
              </w:rPr>
            </w:pPr>
          </w:p>
        </w:tc>
        <w:tc>
          <w:tcPr>
            <w:tcW w:w="920" w:type="dxa"/>
            <w:vAlign w:val="bottom"/>
            <w:shd w:val="clear" w:color="auto" w:fill="E3EAEE"/>
          </w:tcPr>
          <w:p>
            <w:pPr>
              <w:spacing w:after="0"/>
              <w:rPr>
                <w:sz w:val="24"/>
                <w:szCs w:val="24"/>
                <w:color w:val="auto"/>
              </w:rPr>
            </w:pPr>
          </w:p>
        </w:tc>
        <w:tc>
          <w:tcPr>
            <w:tcW w:w="80" w:type="dxa"/>
            <w:vAlign w:val="bottom"/>
            <w:shd w:val="clear" w:color="auto" w:fill="E3EAEE"/>
          </w:tcPr>
          <w:p>
            <w:pPr>
              <w:spacing w:after="0"/>
              <w:rPr>
                <w:sz w:val="24"/>
                <w:szCs w:val="24"/>
                <w:color w:val="auto"/>
              </w:rPr>
            </w:pPr>
          </w:p>
        </w:tc>
        <w:tc>
          <w:tcPr>
            <w:tcW w:w="880" w:type="dxa"/>
            <w:vAlign w:val="bottom"/>
            <w:shd w:val="clear" w:color="auto" w:fill="E3EAEE"/>
          </w:tcPr>
          <w:p>
            <w:pPr>
              <w:spacing w:after="0"/>
              <w:rPr>
                <w:sz w:val="24"/>
                <w:szCs w:val="24"/>
                <w:color w:val="auto"/>
              </w:rPr>
            </w:pPr>
          </w:p>
        </w:tc>
        <w:tc>
          <w:tcPr>
            <w:tcW w:w="1020" w:type="dxa"/>
            <w:vAlign w:val="bottom"/>
            <w:shd w:val="clear" w:color="auto" w:fill="E3EAEE"/>
          </w:tcPr>
          <w:p>
            <w:pPr>
              <w:spacing w:after="0"/>
              <w:rPr>
                <w:sz w:val="24"/>
                <w:szCs w:val="24"/>
                <w:color w:val="auto"/>
              </w:rPr>
            </w:pPr>
          </w:p>
        </w:tc>
        <w:tc>
          <w:tcPr>
            <w:tcW w:w="80" w:type="dxa"/>
            <w:vAlign w:val="bottom"/>
            <w:shd w:val="clear" w:color="auto" w:fill="E3EAEE"/>
          </w:tcPr>
          <w:p>
            <w:pPr>
              <w:spacing w:after="0"/>
              <w:rPr>
                <w:sz w:val="24"/>
                <w:szCs w:val="24"/>
                <w:color w:val="auto"/>
              </w:rPr>
            </w:pPr>
          </w:p>
        </w:tc>
        <w:tc>
          <w:tcPr>
            <w:tcW w:w="1080" w:type="dxa"/>
            <w:vAlign w:val="bottom"/>
            <w:shd w:val="clear" w:color="auto" w:fill="E3EAEE"/>
          </w:tcPr>
          <w:p>
            <w:pPr>
              <w:jc w:val="right"/>
              <w:ind w:right="155"/>
              <w:spacing w:after="0"/>
              <w:rPr>
                <w:sz w:val="20"/>
                <w:szCs w:val="20"/>
                <w:color w:val="auto"/>
              </w:rPr>
            </w:pPr>
            <w:r>
              <w:rPr>
                <w:rFonts w:ascii="Arial" w:cs="Arial" w:eastAsia="Arial" w:hAnsi="Arial"/>
                <w:sz w:val="13"/>
                <w:szCs w:val="13"/>
                <w:color w:val="3E474E"/>
              </w:rPr>
              <w:t>—</w:t>
            </w:r>
          </w:p>
        </w:tc>
        <w:tc>
          <w:tcPr>
            <w:tcW w:w="960" w:type="dxa"/>
            <w:vAlign w:val="bottom"/>
            <w:shd w:val="clear" w:color="auto" w:fill="E3EAEE"/>
          </w:tcPr>
          <w:p>
            <w:pPr>
              <w:jc w:val="right"/>
              <w:ind w:right="96"/>
              <w:spacing w:after="0"/>
              <w:rPr>
                <w:sz w:val="20"/>
                <w:szCs w:val="20"/>
                <w:color w:val="auto"/>
              </w:rPr>
            </w:pPr>
            <w:r>
              <w:rPr>
                <w:rFonts w:ascii="Arial" w:cs="Arial" w:eastAsia="Arial" w:hAnsi="Arial"/>
                <w:sz w:val="13"/>
                <w:szCs w:val="13"/>
                <w:color w:val="3E474E"/>
              </w:rPr>
              <w:t>151,822</w:t>
            </w:r>
          </w:p>
        </w:tc>
        <w:tc>
          <w:tcPr>
            <w:tcW w:w="920" w:type="dxa"/>
            <w:vAlign w:val="bottom"/>
            <w:shd w:val="clear" w:color="auto" w:fill="E3EAEE"/>
          </w:tcPr>
          <w:p>
            <w:pPr>
              <w:jc w:val="right"/>
              <w:spacing w:after="0"/>
              <w:rPr>
                <w:sz w:val="20"/>
                <w:szCs w:val="20"/>
                <w:color w:val="auto"/>
              </w:rPr>
            </w:pPr>
            <w:r>
              <w:rPr>
                <w:rFonts w:ascii="Arial" w:cs="Arial" w:eastAsia="Arial" w:hAnsi="Arial"/>
                <w:sz w:val="13"/>
                <w:szCs w:val="13"/>
                <w:color w:val="3E474E"/>
              </w:rPr>
              <w:t>303,644</w:t>
            </w:r>
          </w:p>
        </w:tc>
        <w:tc>
          <w:tcPr>
            <w:tcW w:w="80" w:type="dxa"/>
            <w:vAlign w:val="bottom"/>
            <w:shd w:val="clear" w:color="auto" w:fill="E3EAEE"/>
          </w:tcPr>
          <w:p>
            <w:pPr>
              <w:spacing w:after="0"/>
              <w:rPr>
                <w:sz w:val="24"/>
                <w:szCs w:val="24"/>
                <w:color w:val="auto"/>
              </w:rPr>
            </w:pPr>
          </w:p>
        </w:tc>
        <w:tc>
          <w:tcPr>
            <w:tcW w:w="1260" w:type="dxa"/>
            <w:vAlign w:val="bottom"/>
            <w:shd w:val="clear" w:color="auto" w:fill="E3EAEE"/>
          </w:tcPr>
          <w:p>
            <w:pPr>
              <w:jc w:val="right"/>
              <w:ind w:right="35"/>
              <w:spacing w:after="0"/>
              <w:rPr>
                <w:sz w:val="20"/>
                <w:szCs w:val="20"/>
                <w:color w:val="auto"/>
              </w:rPr>
            </w:pPr>
            <w:r>
              <w:rPr>
                <w:rFonts w:ascii="Arial" w:cs="Arial" w:eastAsia="Arial" w:hAnsi="Arial"/>
                <w:sz w:val="13"/>
                <w:szCs w:val="13"/>
                <w:color w:val="3E474E"/>
              </w:rPr>
              <w:t>N/A</w:t>
            </w:r>
          </w:p>
        </w:tc>
        <w:tc>
          <w:tcPr>
            <w:tcW w:w="1560" w:type="dxa"/>
            <w:vAlign w:val="bottom"/>
            <w:shd w:val="clear" w:color="auto" w:fill="E3EAEE"/>
          </w:tcPr>
          <w:p>
            <w:pPr>
              <w:jc w:val="right"/>
              <w:spacing w:after="0"/>
              <w:rPr>
                <w:sz w:val="20"/>
                <w:szCs w:val="20"/>
                <w:color w:val="auto"/>
              </w:rPr>
            </w:pPr>
            <w:r>
              <w:rPr>
                <w:rFonts w:ascii="Arial" w:cs="Arial" w:eastAsia="Arial" w:hAnsi="Arial"/>
                <w:sz w:val="13"/>
                <w:szCs w:val="13"/>
                <w:color w:val="3E474E"/>
              </w:rPr>
              <w:t>707,946</w:t>
            </w:r>
          </w:p>
        </w:tc>
        <w:tc>
          <w:tcPr>
            <w:tcW w:w="0" w:type="dxa"/>
            <w:vAlign w:val="bottom"/>
          </w:tcPr>
          <w:p>
            <w:pPr>
              <w:spacing w:after="0"/>
              <w:rPr>
                <w:sz w:val="1"/>
                <w:szCs w:val="1"/>
                <w:color w:val="auto"/>
              </w:rPr>
            </w:pPr>
          </w:p>
        </w:tc>
      </w:tr>
      <w:tr>
        <w:trPr>
          <w:trHeight w:val="149"/>
        </w:trPr>
        <w:tc>
          <w:tcPr>
            <w:tcW w:w="860" w:type="dxa"/>
            <w:vAlign w:val="bottom"/>
            <w:shd w:val="clear" w:color="auto" w:fill="E3EAEE"/>
          </w:tcPr>
          <w:p>
            <w:pPr>
              <w:spacing w:after="0"/>
              <w:rPr>
                <w:sz w:val="12"/>
                <w:szCs w:val="12"/>
                <w:color w:val="auto"/>
              </w:rPr>
            </w:pPr>
          </w:p>
        </w:tc>
        <w:tc>
          <w:tcPr>
            <w:tcW w:w="120" w:type="dxa"/>
            <w:vAlign w:val="bottom"/>
            <w:shd w:val="clear" w:color="auto" w:fill="E3EAEE"/>
          </w:tcPr>
          <w:p>
            <w:pPr>
              <w:spacing w:after="0"/>
              <w:rPr>
                <w:sz w:val="12"/>
                <w:szCs w:val="12"/>
                <w:color w:val="auto"/>
              </w:rPr>
            </w:pPr>
          </w:p>
        </w:tc>
        <w:tc>
          <w:tcPr>
            <w:tcW w:w="920" w:type="dxa"/>
            <w:vAlign w:val="bottom"/>
            <w:shd w:val="clear" w:color="auto" w:fill="E3EAEE"/>
          </w:tcPr>
          <w:p>
            <w:pPr>
              <w:spacing w:after="0"/>
              <w:rPr>
                <w:sz w:val="12"/>
                <w:szCs w:val="12"/>
                <w:color w:val="auto"/>
              </w:rPr>
            </w:pPr>
          </w:p>
        </w:tc>
        <w:tc>
          <w:tcPr>
            <w:tcW w:w="80" w:type="dxa"/>
            <w:vAlign w:val="bottom"/>
            <w:shd w:val="clear" w:color="auto" w:fill="E3EAEE"/>
          </w:tcPr>
          <w:p>
            <w:pPr>
              <w:spacing w:after="0"/>
              <w:rPr>
                <w:sz w:val="12"/>
                <w:szCs w:val="12"/>
                <w:color w:val="auto"/>
              </w:rPr>
            </w:pPr>
          </w:p>
        </w:tc>
        <w:tc>
          <w:tcPr>
            <w:tcW w:w="880" w:type="dxa"/>
            <w:vAlign w:val="bottom"/>
            <w:shd w:val="clear" w:color="auto" w:fill="E3EAEE"/>
          </w:tcPr>
          <w:p>
            <w:pPr>
              <w:spacing w:after="0"/>
              <w:rPr>
                <w:sz w:val="12"/>
                <w:szCs w:val="12"/>
                <w:color w:val="auto"/>
              </w:rPr>
            </w:pPr>
          </w:p>
        </w:tc>
        <w:tc>
          <w:tcPr>
            <w:tcW w:w="1020" w:type="dxa"/>
            <w:vAlign w:val="bottom"/>
            <w:shd w:val="clear" w:color="auto" w:fill="E3EAEE"/>
          </w:tcPr>
          <w:p>
            <w:pPr>
              <w:spacing w:after="0"/>
              <w:rPr>
                <w:sz w:val="12"/>
                <w:szCs w:val="12"/>
                <w:color w:val="auto"/>
              </w:rPr>
            </w:pPr>
          </w:p>
        </w:tc>
        <w:tc>
          <w:tcPr>
            <w:tcW w:w="80" w:type="dxa"/>
            <w:vAlign w:val="bottom"/>
            <w:shd w:val="clear" w:color="auto" w:fill="E3EAEE"/>
          </w:tcPr>
          <w:p>
            <w:pPr>
              <w:spacing w:after="0"/>
              <w:rPr>
                <w:sz w:val="12"/>
                <w:szCs w:val="12"/>
                <w:color w:val="auto"/>
              </w:rPr>
            </w:pPr>
          </w:p>
        </w:tc>
        <w:tc>
          <w:tcPr>
            <w:tcW w:w="1080" w:type="dxa"/>
            <w:vAlign w:val="bottom"/>
            <w:shd w:val="clear" w:color="auto" w:fill="E3EAEE"/>
          </w:tcPr>
          <w:p>
            <w:pPr>
              <w:spacing w:after="0"/>
              <w:rPr>
                <w:sz w:val="12"/>
                <w:szCs w:val="12"/>
                <w:color w:val="auto"/>
              </w:rPr>
            </w:pPr>
          </w:p>
        </w:tc>
        <w:tc>
          <w:tcPr>
            <w:tcW w:w="960" w:type="dxa"/>
            <w:vAlign w:val="bottom"/>
            <w:shd w:val="clear" w:color="auto" w:fill="E3EAEE"/>
          </w:tcPr>
          <w:p>
            <w:pPr>
              <w:spacing w:after="0"/>
              <w:rPr>
                <w:sz w:val="12"/>
                <w:szCs w:val="12"/>
                <w:color w:val="auto"/>
              </w:rPr>
            </w:pPr>
          </w:p>
        </w:tc>
        <w:tc>
          <w:tcPr>
            <w:tcW w:w="920" w:type="dxa"/>
            <w:vAlign w:val="bottom"/>
            <w:shd w:val="clear" w:color="auto" w:fill="E3EAEE"/>
          </w:tcPr>
          <w:p>
            <w:pPr>
              <w:spacing w:after="0"/>
              <w:rPr>
                <w:sz w:val="12"/>
                <w:szCs w:val="12"/>
                <w:color w:val="auto"/>
              </w:rPr>
            </w:pPr>
          </w:p>
        </w:tc>
        <w:tc>
          <w:tcPr>
            <w:tcW w:w="80" w:type="dxa"/>
            <w:vAlign w:val="bottom"/>
            <w:shd w:val="clear" w:color="auto" w:fill="E3EAEE"/>
          </w:tcPr>
          <w:p>
            <w:pPr>
              <w:spacing w:after="0"/>
              <w:rPr>
                <w:sz w:val="12"/>
                <w:szCs w:val="12"/>
                <w:color w:val="auto"/>
              </w:rPr>
            </w:pPr>
          </w:p>
        </w:tc>
        <w:tc>
          <w:tcPr>
            <w:tcW w:w="1260" w:type="dxa"/>
            <w:vAlign w:val="bottom"/>
            <w:shd w:val="clear" w:color="auto" w:fill="E3EAEE"/>
          </w:tcPr>
          <w:p>
            <w:pPr>
              <w:spacing w:after="0"/>
              <w:rPr>
                <w:sz w:val="12"/>
                <w:szCs w:val="12"/>
                <w:color w:val="auto"/>
              </w:rPr>
            </w:pPr>
          </w:p>
        </w:tc>
        <w:tc>
          <w:tcPr>
            <w:tcW w:w="1560" w:type="dxa"/>
            <w:vAlign w:val="bottom"/>
            <w:shd w:val="clear" w:color="auto" w:fill="E3EAE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center"/>
              <w:spacing w:after="0"/>
              <w:rPr>
                <w:sz w:val="20"/>
                <w:szCs w:val="20"/>
                <w:color w:val="auto"/>
              </w:rPr>
            </w:pPr>
            <w:r>
              <w:rPr>
                <w:rFonts w:ascii="Arial" w:cs="Arial" w:eastAsia="Arial" w:hAnsi="Arial"/>
                <w:sz w:val="13"/>
                <w:szCs w:val="13"/>
                <w:color w:val="3E474E"/>
                <w:w w:val="98"/>
              </w:rPr>
              <w:t>3/3/2025</w:t>
            </w:r>
          </w:p>
        </w:tc>
        <w:tc>
          <w:tcPr>
            <w:tcW w:w="120" w:type="dxa"/>
            <w:vAlign w:val="bottom"/>
            <w:shd w:val="clear" w:color="auto" w:fill="E3EAEE"/>
          </w:tcPr>
          <w:p>
            <w:pPr>
              <w:spacing w:after="0"/>
              <w:rPr>
                <w:sz w:val="24"/>
                <w:szCs w:val="24"/>
                <w:color w:val="auto"/>
              </w:rPr>
            </w:pPr>
          </w:p>
        </w:tc>
        <w:tc>
          <w:tcPr>
            <w:tcW w:w="920" w:type="dxa"/>
            <w:vAlign w:val="bottom"/>
            <w:shd w:val="clear" w:color="auto" w:fill="E3EAEE"/>
          </w:tcPr>
          <w:p>
            <w:pPr>
              <w:spacing w:after="0"/>
              <w:rPr>
                <w:sz w:val="24"/>
                <w:szCs w:val="24"/>
                <w:color w:val="auto"/>
              </w:rPr>
            </w:pPr>
          </w:p>
        </w:tc>
        <w:tc>
          <w:tcPr>
            <w:tcW w:w="80" w:type="dxa"/>
            <w:vAlign w:val="bottom"/>
            <w:shd w:val="clear" w:color="auto" w:fill="E3EAEE"/>
          </w:tcPr>
          <w:p>
            <w:pPr>
              <w:spacing w:after="0"/>
              <w:rPr>
                <w:sz w:val="24"/>
                <w:szCs w:val="24"/>
                <w:color w:val="auto"/>
              </w:rPr>
            </w:pPr>
          </w:p>
        </w:tc>
        <w:tc>
          <w:tcPr>
            <w:tcW w:w="880" w:type="dxa"/>
            <w:vAlign w:val="bottom"/>
            <w:shd w:val="clear" w:color="auto" w:fill="E3EAEE"/>
          </w:tcPr>
          <w:p>
            <w:pPr>
              <w:spacing w:after="0"/>
              <w:rPr>
                <w:sz w:val="24"/>
                <w:szCs w:val="24"/>
                <w:color w:val="auto"/>
              </w:rPr>
            </w:pPr>
          </w:p>
        </w:tc>
        <w:tc>
          <w:tcPr>
            <w:tcW w:w="1020" w:type="dxa"/>
            <w:vAlign w:val="bottom"/>
            <w:shd w:val="clear" w:color="auto" w:fill="E3EAEE"/>
          </w:tcPr>
          <w:p>
            <w:pPr>
              <w:spacing w:after="0"/>
              <w:rPr>
                <w:sz w:val="24"/>
                <w:szCs w:val="24"/>
                <w:color w:val="auto"/>
              </w:rPr>
            </w:pPr>
          </w:p>
        </w:tc>
        <w:tc>
          <w:tcPr>
            <w:tcW w:w="80" w:type="dxa"/>
            <w:vAlign w:val="bottom"/>
            <w:shd w:val="clear" w:color="auto" w:fill="E3EAEE"/>
          </w:tcPr>
          <w:p>
            <w:pPr>
              <w:spacing w:after="0"/>
              <w:rPr>
                <w:sz w:val="24"/>
                <w:szCs w:val="24"/>
                <w:color w:val="auto"/>
              </w:rPr>
            </w:pPr>
          </w:p>
        </w:tc>
        <w:tc>
          <w:tcPr>
            <w:tcW w:w="1080" w:type="dxa"/>
            <w:vAlign w:val="bottom"/>
            <w:shd w:val="clear" w:color="auto" w:fill="E3EAEE"/>
          </w:tcPr>
          <w:p>
            <w:pPr>
              <w:jc w:val="right"/>
              <w:ind w:right="95"/>
              <w:spacing w:after="0"/>
              <w:rPr>
                <w:sz w:val="20"/>
                <w:szCs w:val="20"/>
                <w:color w:val="auto"/>
              </w:rPr>
            </w:pPr>
            <w:r>
              <w:rPr>
                <w:rFonts w:ascii="Arial" w:cs="Arial" w:eastAsia="Arial" w:hAnsi="Arial"/>
                <w:sz w:val="13"/>
                <w:szCs w:val="13"/>
                <w:color w:val="3E474E"/>
              </w:rPr>
              <w:t>N/A</w:t>
            </w:r>
          </w:p>
        </w:tc>
        <w:tc>
          <w:tcPr>
            <w:tcW w:w="960" w:type="dxa"/>
            <w:vAlign w:val="bottom"/>
            <w:shd w:val="clear" w:color="auto" w:fill="E3EAEE"/>
          </w:tcPr>
          <w:p>
            <w:pPr>
              <w:jc w:val="right"/>
              <w:ind w:right="56"/>
              <w:spacing w:after="0"/>
              <w:rPr>
                <w:sz w:val="20"/>
                <w:szCs w:val="20"/>
                <w:color w:val="auto"/>
              </w:rPr>
            </w:pPr>
            <w:r>
              <w:rPr>
                <w:rFonts w:ascii="Arial" w:cs="Arial" w:eastAsia="Arial" w:hAnsi="Arial"/>
                <w:sz w:val="13"/>
                <w:szCs w:val="13"/>
                <w:color w:val="3E474E"/>
              </w:rPr>
              <w:t>N/A</w:t>
            </w:r>
          </w:p>
        </w:tc>
        <w:tc>
          <w:tcPr>
            <w:tcW w:w="1000" w:type="dxa"/>
            <w:vAlign w:val="bottom"/>
            <w:gridSpan w:val="2"/>
            <w:shd w:val="clear" w:color="auto" w:fill="E3EAEE"/>
          </w:tcPr>
          <w:p>
            <w:pPr>
              <w:ind w:left="680"/>
              <w:spacing w:after="0"/>
              <w:rPr>
                <w:sz w:val="20"/>
                <w:szCs w:val="20"/>
                <w:color w:val="auto"/>
              </w:rPr>
            </w:pPr>
            <w:r>
              <w:rPr>
                <w:rFonts w:ascii="Arial" w:cs="Arial" w:eastAsia="Arial" w:hAnsi="Arial"/>
                <w:sz w:val="13"/>
                <w:szCs w:val="13"/>
                <w:color w:val="3E474E"/>
              </w:rPr>
              <w:t>N/A</w:t>
            </w:r>
          </w:p>
        </w:tc>
        <w:tc>
          <w:tcPr>
            <w:tcW w:w="1260" w:type="dxa"/>
            <w:vAlign w:val="bottom"/>
            <w:shd w:val="clear" w:color="auto" w:fill="E3EAEE"/>
          </w:tcPr>
          <w:p>
            <w:pPr>
              <w:jc w:val="right"/>
              <w:ind w:right="75"/>
              <w:spacing w:after="0"/>
              <w:rPr>
                <w:sz w:val="20"/>
                <w:szCs w:val="20"/>
                <w:color w:val="auto"/>
              </w:rPr>
            </w:pPr>
            <w:r>
              <w:rPr>
                <w:rFonts w:ascii="Arial" w:cs="Arial" w:eastAsia="Arial" w:hAnsi="Arial"/>
                <w:sz w:val="13"/>
                <w:szCs w:val="13"/>
                <w:color w:val="3E474E"/>
              </w:rPr>
              <w:t>35,753</w:t>
            </w:r>
          </w:p>
        </w:tc>
        <w:tc>
          <w:tcPr>
            <w:tcW w:w="1560" w:type="dxa"/>
            <w:vAlign w:val="bottom"/>
            <w:shd w:val="clear" w:color="auto" w:fill="E3EAEE"/>
          </w:tcPr>
          <w:p>
            <w:pPr>
              <w:jc w:val="right"/>
              <w:spacing w:after="0"/>
              <w:rPr>
                <w:sz w:val="20"/>
                <w:szCs w:val="20"/>
                <w:color w:val="auto"/>
              </w:rPr>
            </w:pPr>
            <w:r>
              <w:rPr>
                <w:rFonts w:ascii="Arial" w:cs="Arial" w:eastAsia="Arial" w:hAnsi="Arial"/>
                <w:sz w:val="13"/>
                <w:szCs w:val="13"/>
                <w:color w:val="3E474E"/>
              </w:rPr>
              <w:t>302,828</w:t>
            </w: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3"/>
                <w:szCs w:val="13"/>
                <w:color w:val="3E474E"/>
                <w:w w:val="98"/>
              </w:rPr>
              <w:t>3/3/2025</w:t>
            </w:r>
          </w:p>
        </w:tc>
        <w:tc>
          <w:tcPr>
            <w:tcW w:w="120" w:type="dxa"/>
            <w:vAlign w:val="bottom"/>
            <w:shd w:val="clear" w:color="auto" w:fill="E3EAEE"/>
          </w:tcPr>
          <w:p>
            <w:pPr>
              <w:spacing w:after="0"/>
              <w:rPr>
                <w:sz w:val="24"/>
                <w:szCs w:val="24"/>
                <w:color w:val="auto"/>
              </w:rPr>
            </w:pPr>
          </w:p>
        </w:tc>
        <w:tc>
          <w:tcPr>
            <w:tcW w:w="920" w:type="dxa"/>
            <w:vAlign w:val="bottom"/>
            <w:shd w:val="clear" w:color="auto" w:fill="E3EAEE"/>
          </w:tcPr>
          <w:p>
            <w:pPr>
              <w:spacing w:after="0"/>
              <w:rPr>
                <w:sz w:val="24"/>
                <w:szCs w:val="24"/>
                <w:color w:val="auto"/>
              </w:rPr>
            </w:pPr>
          </w:p>
        </w:tc>
        <w:tc>
          <w:tcPr>
            <w:tcW w:w="80" w:type="dxa"/>
            <w:vAlign w:val="bottom"/>
            <w:shd w:val="clear" w:color="auto" w:fill="E3EAEE"/>
          </w:tcPr>
          <w:p>
            <w:pPr>
              <w:spacing w:after="0"/>
              <w:rPr>
                <w:sz w:val="24"/>
                <w:szCs w:val="24"/>
                <w:color w:val="auto"/>
              </w:rPr>
            </w:pPr>
          </w:p>
        </w:tc>
        <w:tc>
          <w:tcPr>
            <w:tcW w:w="880" w:type="dxa"/>
            <w:vAlign w:val="bottom"/>
            <w:shd w:val="clear" w:color="auto" w:fill="E3EAEE"/>
          </w:tcPr>
          <w:p>
            <w:pPr>
              <w:spacing w:after="0"/>
              <w:rPr>
                <w:sz w:val="24"/>
                <w:szCs w:val="24"/>
                <w:color w:val="auto"/>
              </w:rPr>
            </w:pPr>
          </w:p>
        </w:tc>
        <w:tc>
          <w:tcPr>
            <w:tcW w:w="1020" w:type="dxa"/>
            <w:vAlign w:val="bottom"/>
            <w:shd w:val="clear" w:color="auto" w:fill="E3EAEE"/>
          </w:tcPr>
          <w:p>
            <w:pPr>
              <w:spacing w:after="0"/>
              <w:rPr>
                <w:sz w:val="24"/>
                <w:szCs w:val="24"/>
                <w:color w:val="auto"/>
              </w:rPr>
            </w:pPr>
          </w:p>
        </w:tc>
        <w:tc>
          <w:tcPr>
            <w:tcW w:w="80" w:type="dxa"/>
            <w:vAlign w:val="bottom"/>
            <w:shd w:val="clear" w:color="auto" w:fill="E3EAEE"/>
          </w:tcPr>
          <w:p>
            <w:pPr>
              <w:spacing w:after="0"/>
              <w:rPr>
                <w:sz w:val="24"/>
                <w:szCs w:val="24"/>
                <w:color w:val="auto"/>
              </w:rPr>
            </w:pPr>
          </w:p>
        </w:tc>
        <w:tc>
          <w:tcPr>
            <w:tcW w:w="1080" w:type="dxa"/>
            <w:vAlign w:val="bottom"/>
            <w:shd w:val="clear" w:color="auto" w:fill="E3EAEE"/>
          </w:tcPr>
          <w:p>
            <w:pPr>
              <w:jc w:val="right"/>
              <w:ind w:right="155"/>
              <w:spacing w:after="0"/>
              <w:rPr>
                <w:sz w:val="20"/>
                <w:szCs w:val="20"/>
                <w:color w:val="auto"/>
              </w:rPr>
            </w:pPr>
            <w:r>
              <w:rPr>
                <w:rFonts w:ascii="Arial" w:cs="Arial" w:eastAsia="Arial" w:hAnsi="Arial"/>
                <w:sz w:val="13"/>
                <w:szCs w:val="13"/>
                <w:color w:val="3E474E"/>
              </w:rPr>
              <w:t>16,502</w:t>
            </w:r>
          </w:p>
        </w:tc>
        <w:tc>
          <w:tcPr>
            <w:tcW w:w="960" w:type="dxa"/>
            <w:vAlign w:val="bottom"/>
            <w:shd w:val="clear" w:color="auto" w:fill="E3EAEE"/>
          </w:tcPr>
          <w:p>
            <w:pPr>
              <w:jc w:val="right"/>
              <w:ind w:right="96"/>
              <w:spacing w:after="0"/>
              <w:rPr>
                <w:sz w:val="20"/>
                <w:szCs w:val="20"/>
                <w:color w:val="auto"/>
              </w:rPr>
            </w:pPr>
            <w:r>
              <w:rPr>
                <w:rFonts w:ascii="Arial" w:cs="Arial" w:eastAsia="Arial" w:hAnsi="Arial"/>
                <w:sz w:val="13"/>
                <w:szCs w:val="13"/>
                <w:color w:val="3E474E"/>
              </w:rPr>
              <w:t>33,003</w:t>
            </w:r>
          </w:p>
        </w:tc>
        <w:tc>
          <w:tcPr>
            <w:tcW w:w="920" w:type="dxa"/>
            <w:vAlign w:val="bottom"/>
            <w:shd w:val="clear" w:color="auto" w:fill="E3EAEE"/>
          </w:tcPr>
          <w:p>
            <w:pPr>
              <w:jc w:val="right"/>
              <w:spacing w:after="0"/>
              <w:rPr>
                <w:sz w:val="20"/>
                <w:szCs w:val="20"/>
                <w:color w:val="auto"/>
              </w:rPr>
            </w:pPr>
            <w:r>
              <w:rPr>
                <w:rFonts w:ascii="Arial" w:cs="Arial" w:eastAsia="Arial" w:hAnsi="Arial"/>
                <w:sz w:val="13"/>
                <w:szCs w:val="13"/>
                <w:color w:val="3E474E"/>
              </w:rPr>
              <w:t>66,006</w:t>
            </w:r>
          </w:p>
        </w:tc>
        <w:tc>
          <w:tcPr>
            <w:tcW w:w="80" w:type="dxa"/>
            <w:vAlign w:val="bottom"/>
            <w:shd w:val="clear" w:color="auto" w:fill="E3EAEE"/>
          </w:tcPr>
          <w:p>
            <w:pPr>
              <w:spacing w:after="0"/>
              <w:rPr>
                <w:sz w:val="24"/>
                <w:szCs w:val="24"/>
                <w:color w:val="auto"/>
              </w:rPr>
            </w:pPr>
          </w:p>
        </w:tc>
        <w:tc>
          <w:tcPr>
            <w:tcW w:w="1260" w:type="dxa"/>
            <w:vAlign w:val="bottom"/>
            <w:shd w:val="clear" w:color="auto" w:fill="E3EAEE"/>
          </w:tcPr>
          <w:p>
            <w:pPr>
              <w:jc w:val="right"/>
              <w:ind w:right="35"/>
              <w:spacing w:after="0"/>
              <w:rPr>
                <w:sz w:val="20"/>
                <w:szCs w:val="20"/>
                <w:color w:val="auto"/>
              </w:rPr>
            </w:pPr>
            <w:r>
              <w:rPr>
                <w:rFonts w:ascii="Arial" w:cs="Arial" w:eastAsia="Arial" w:hAnsi="Arial"/>
                <w:sz w:val="13"/>
                <w:szCs w:val="13"/>
                <w:color w:val="3E474E"/>
              </w:rPr>
              <w:t>N/A</w:t>
            </w:r>
          </w:p>
        </w:tc>
        <w:tc>
          <w:tcPr>
            <w:tcW w:w="1560" w:type="dxa"/>
            <w:vAlign w:val="bottom"/>
            <w:shd w:val="clear" w:color="auto" w:fill="E3EAEE"/>
          </w:tcPr>
          <w:p>
            <w:pPr>
              <w:jc w:val="right"/>
              <w:spacing w:after="0"/>
              <w:rPr>
                <w:sz w:val="20"/>
                <w:szCs w:val="20"/>
                <w:color w:val="auto"/>
              </w:rPr>
            </w:pPr>
            <w:r>
              <w:rPr>
                <w:rFonts w:ascii="Arial" w:cs="Arial" w:eastAsia="Arial" w:hAnsi="Arial"/>
                <w:sz w:val="13"/>
                <w:szCs w:val="13"/>
                <w:color w:val="3E474E"/>
              </w:rPr>
              <w:t>374,914</w:t>
            </w: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3"/>
                <w:szCs w:val="13"/>
                <w:color w:val="3E474E"/>
                <w:w w:val="98"/>
              </w:rPr>
              <w:t>3/3/2025</w:t>
            </w:r>
          </w:p>
        </w:tc>
        <w:tc>
          <w:tcPr>
            <w:tcW w:w="120" w:type="dxa"/>
            <w:vAlign w:val="bottom"/>
            <w:shd w:val="clear" w:color="auto" w:fill="E3EAEE"/>
          </w:tcPr>
          <w:p>
            <w:pPr>
              <w:spacing w:after="0"/>
              <w:rPr>
                <w:sz w:val="24"/>
                <w:szCs w:val="24"/>
                <w:color w:val="auto"/>
              </w:rPr>
            </w:pPr>
          </w:p>
        </w:tc>
        <w:tc>
          <w:tcPr>
            <w:tcW w:w="920" w:type="dxa"/>
            <w:vAlign w:val="bottom"/>
            <w:shd w:val="clear" w:color="auto" w:fill="E3EAEE"/>
          </w:tcPr>
          <w:p>
            <w:pPr>
              <w:spacing w:after="0"/>
              <w:rPr>
                <w:sz w:val="24"/>
                <w:szCs w:val="24"/>
                <w:color w:val="auto"/>
              </w:rPr>
            </w:pPr>
          </w:p>
        </w:tc>
        <w:tc>
          <w:tcPr>
            <w:tcW w:w="80" w:type="dxa"/>
            <w:vAlign w:val="bottom"/>
            <w:shd w:val="clear" w:color="auto" w:fill="E3EAEE"/>
          </w:tcPr>
          <w:p>
            <w:pPr>
              <w:spacing w:after="0"/>
              <w:rPr>
                <w:sz w:val="24"/>
                <w:szCs w:val="24"/>
                <w:color w:val="auto"/>
              </w:rPr>
            </w:pPr>
          </w:p>
        </w:tc>
        <w:tc>
          <w:tcPr>
            <w:tcW w:w="880" w:type="dxa"/>
            <w:vAlign w:val="bottom"/>
            <w:shd w:val="clear" w:color="auto" w:fill="E3EAEE"/>
          </w:tcPr>
          <w:p>
            <w:pPr>
              <w:spacing w:after="0"/>
              <w:rPr>
                <w:sz w:val="24"/>
                <w:szCs w:val="24"/>
                <w:color w:val="auto"/>
              </w:rPr>
            </w:pPr>
          </w:p>
        </w:tc>
        <w:tc>
          <w:tcPr>
            <w:tcW w:w="1020" w:type="dxa"/>
            <w:vAlign w:val="bottom"/>
            <w:shd w:val="clear" w:color="auto" w:fill="E3EAEE"/>
          </w:tcPr>
          <w:p>
            <w:pPr>
              <w:spacing w:after="0"/>
              <w:rPr>
                <w:sz w:val="24"/>
                <w:szCs w:val="24"/>
                <w:color w:val="auto"/>
              </w:rPr>
            </w:pPr>
          </w:p>
        </w:tc>
        <w:tc>
          <w:tcPr>
            <w:tcW w:w="80" w:type="dxa"/>
            <w:vAlign w:val="bottom"/>
            <w:shd w:val="clear" w:color="auto" w:fill="E3EAEE"/>
          </w:tcPr>
          <w:p>
            <w:pPr>
              <w:spacing w:after="0"/>
              <w:rPr>
                <w:sz w:val="24"/>
                <w:szCs w:val="24"/>
                <w:color w:val="auto"/>
              </w:rPr>
            </w:pPr>
          </w:p>
        </w:tc>
        <w:tc>
          <w:tcPr>
            <w:tcW w:w="1080" w:type="dxa"/>
            <w:vAlign w:val="bottom"/>
            <w:shd w:val="clear" w:color="auto" w:fill="E3EAEE"/>
          </w:tcPr>
          <w:p>
            <w:pPr>
              <w:jc w:val="right"/>
              <w:ind w:right="95"/>
              <w:spacing w:after="0"/>
              <w:rPr>
                <w:sz w:val="20"/>
                <w:szCs w:val="20"/>
                <w:color w:val="auto"/>
              </w:rPr>
            </w:pPr>
            <w:r>
              <w:rPr>
                <w:rFonts w:ascii="Arial" w:cs="Arial" w:eastAsia="Arial" w:hAnsi="Arial"/>
                <w:sz w:val="13"/>
                <w:szCs w:val="13"/>
                <w:color w:val="3E474E"/>
              </w:rPr>
              <w:t>N/A</w:t>
            </w:r>
          </w:p>
        </w:tc>
        <w:tc>
          <w:tcPr>
            <w:tcW w:w="960" w:type="dxa"/>
            <w:vAlign w:val="bottom"/>
            <w:shd w:val="clear" w:color="auto" w:fill="E3EAEE"/>
          </w:tcPr>
          <w:p>
            <w:pPr>
              <w:jc w:val="right"/>
              <w:ind w:right="56"/>
              <w:spacing w:after="0"/>
              <w:rPr>
                <w:sz w:val="20"/>
                <w:szCs w:val="20"/>
                <w:color w:val="auto"/>
              </w:rPr>
            </w:pPr>
            <w:r>
              <w:rPr>
                <w:rFonts w:ascii="Arial" w:cs="Arial" w:eastAsia="Arial" w:hAnsi="Arial"/>
                <w:sz w:val="13"/>
                <w:szCs w:val="13"/>
                <w:color w:val="3E474E"/>
              </w:rPr>
              <w:t>N/A</w:t>
            </w:r>
          </w:p>
        </w:tc>
        <w:tc>
          <w:tcPr>
            <w:tcW w:w="1000" w:type="dxa"/>
            <w:vAlign w:val="bottom"/>
            <w:gridSpan w:val="2"/>
            <w:shd w:val="clear" w:color="auto" w:fill="E3EAEE"/>
          </w:tcPr>
          <w:p>
            <w:pPr>
              <w:ind w:left="680"/>
              <w:spacing w:after="0"/>
              <w:rPr>
                <w:sz w:val="20"/>
                <w:szCs w:val="20"/>
                <w:color w:val="auto"/>
              </w:rPr>
            </w:pPr>
            <w:r>
              <w:rPr>
                <w:rFonts w:ascii="Arial" w:cs="Arial" w:eastAsia="Arial" w:hAnsi="Arial"/>
                <w:sz w:val="13"/>
                <w:szCs w:val="13"/>
                <w:color w:val="3E474E"/>
              </w:rPr>
              <w:t>N/A</w:t>
            </w:r>
          </w:p>
        </w:tc>
        <w:tc>
          <w:tcPr>
            <w:tcW w:w="1260" w:type="dxa"/>
            <w:vAlign w:val="bottom"/>
            <w:shd w:val="clear" w:color="auto" w:fill="E3EAEE"/>
          </w:tcPr>
          <w:p>
            <w:pPr>
              <w:jc w:val="right"/>
              <w:ind w:right="75"/>
              <w:spacing w:after="0"/>
              <w:rPr>
                <w:sz w:val="20"/>
                <w:szCs w:val="20"/>
                <w:color w:val="auto"/>
              </w:rPr>
            </w:pPr>
            <w:r>
              <w:rPr>
                <w:rFonts w:ascii="Arial" w:cs="Arial" w:eastAsia="Arial" w:hAnsi="Arial"/>
                <w:sz w:val="13"/>
                <w:szCs w:val="13"/>
                <w:color w:val="3E474E"/>
              </w:rPr>
              <w:t>48,267</w:t>
            </w:r>
          </w:p>
        </w:tc>
        <w:tc>
          <w:tcPr>
            <w:tcW w:w="1560" w:type="dxa"/>
            <w:vAlign w:val="bottom"/>
            <w:shd w:val="clear" w:color="auto" w:fill="E3EAEE"/>
          </w:tcPr>
          <w:p>
            <w:pPr>
              <w:jc w:val="right"/>
              <w:spacing w:after="0"/>
              <w:rPr>
                <w:sz w:val="20"/>
                <w:szCs w:val="20"/>
                <w:color w:val="auto"/>
              </w:rPr>
            </w:pPr>
            <w:r>
              <w:rPr>
                <w:rFonts w:ascii="Arial" w:cs="Arial" w:eastAsia="Arial" w:hAnsi="Arial"/>
                <w:sz w:val="13"/>
                <w:szCs w:val="13"/>
                <w:color w:val="3E474E"/>
              </w:rPr>
              <w:t>395,307</w:t>
            </w: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3"/>
                <w:szCs w:val="13"/>
                <w:color w:val="3E474E"/>
                <w:w w:val="98"/>
              </w:rPr>
              <w:t>3/3/2025</w:t>
            </w:r>
          </w:p>
        </w:tc>
        <w:tc>
          <w:tcPr>
            <w:tcW w:w="120" w:type="dxa"/>
            <w:vAlign w:val="bottom"/>
            <w:shd w:val="clear" w:color="auto" w:fill="E3EAEE"/>
          </w:tcPr>
          <w:p>
            <w:pPr>
              <w:spacing w:after="0"/>
              <w:rPr>
                <w:sz w:val="24"/>
                <w:szCs w:val="24"/>
                <w:color w:val="auto"/>
              </w:rPr>
            </w:pPr>
          </w:p>
        </w:tc>
        <w:tc>
          <w:tcPr>
            <w:tcW w:w="920" w:type="dxa"/>
            <w:vAlign w:val="bottom"/>
            <w:shd w:val="clear" w:color="auto" w:fill="E3EAEE"/>
          </w:tcPr>
          <w:p>
            <w:pPr>
              <w:jc w:val="center"/>
              <w:spacing w:after="0"/>
              <w:rPr>
                <w:sz w:val="20"/>
                <w:szCs w:val="20"/>
                <w:color w:val="auto"/>
              </w:rPr>
            </w:pPr>
            <w:r>
              <w:rPr>
                <w:rFonts w:ascii="Arial" w:cs="Arial" w:eastAsia="Arial" w:hAnsi="Arial"/>
                <w:sz w:val="13"/>
                <w:szCs w:val="13"/>
                <w:color w:val="3E474E"/>
                <w:w w:val="97"/>
              </w:rPr>
              <w:t>150,000</w:t>
            </w:r>
          </w:p>
        </w:tc>
        <w:tc>
          <w:tcPr>
            <w:tcW w:w="80" w:type="dxa"/>
            <w:vAlign w:val="bottom"/>
            <w:shd w:val="clear" w:color="auto" w:fill="E3EAEE"/>
          </w:tcPr>
          <w:p>
            <w:pPr>
              <w:spacing w:after="0"/>
              <w:rPr>
                <w:sz w:val="24"/>
                <w:szCs w:val="24"/>
                <w:color w:val="auto"/>
              </w:rPr>
            </w:pPr>
          </w:p>
        </w:tc>
        <w:tc>
          <w:tcPr>
            <w:tcW w:w="880" w:type="dxa"/>
            <w:vAlign w:val="bottom"/>
            <w:shd w:val="clear" w:color="auto" w:fill="E3EAEE"/>
          </w:tcPr>
          <w:p>
            <w:pPr>
              <w:jc w:val="center"/>
              <w:spacing w:after="0"/>
              <w:rPr>
                <w:sz w:val="20"/>
                <w:szCs w:val="20"/>
                <w:color w:val="auto"/>
              </w:rPr>
            </w:pPr>
            <w:r>
              <w:rPr>
                <w:rFonts w:ascii="Arial" w:cs="Arial" w:eastAsia="Arial" w:hAnsi="Arial"/>
                <w:sz w:val="13"/>
                <w:szCs w:val="13"/>
                <w:color w:val="3E474E"/>
                <w:w w:val="97"/>
              </w:rPr>
              <w:t>300,000</w:t>
            </w:r>
          </w:p>
        </w:tc>
        <w:tc>
          <w:tcPr>
            <w:tcW w:w="1020" w:type="dxa"/>
            <w:vAlign w:val="bottom"/>
            <w:shd w:val="clear" w:color="auto" w:fill="E3EAEE"/>
          </w:tcPr>
          <w:p>
            <w:pPr>
              <w:jc w:val="right"/>
              <w:spacing w:after="0"/>
              <w:rPr>
                <w:sz w:val="20"/>
                <w:szCs w:val="20"/>
                <w:color w:val="auto"/>
              </w:rPr>
            </w:pPr>
            <w:r>
              <w:rPr>
                <w:rFonts w:ascii="Arial" w:cs="Arial" w:eastAsia="Arial" w:hAnsi="Arial"/>
                <w:sz w:val="13"/>
                <w:szCs w:val="13"/>
                <w:color w:val="3E474E"/>
              </w:rPr>
              <w:t>450,000</w:t>
            </w:r>
          </w:p>
        </w:tc>
        <w:tc>
          <w:tcPr>
            <w:tcW w:w="80" w:type="dxa"/>
            <w:vAlign w:val="bottom"/>
            <w:shd w:val="clear" w:color="auto" w:fill="E3EAEE"/>
          </w:tcPr>
          <w:p>
            <w:pPr>
              <w:spacing w:after="0"/>
              <w:rPr>
                <w:sz w:val="24"/>
                <w:szCs w:val="24"/>
                <w:color w:val="auto"/>
              </w:rPr>
            </w:pPr>
          </w:p>
        </w:tc>
        <w:tc>
          <w:tcPr>
            <w:tcW w:w="1080" w:type="dxa"/>
            <w:vAlign w:val="bottom"/>
            <w:shd w:val="clear" w:color="auto" w:fill="E3EAEE"/>
          </w:tcPr>
          <w:p>
            <w:pPr>
              <w:jc w:val="right"/>
              <w:ind w:right="95"/>
              <w:spacing w:after="0"/>
              <w:rPr>
                <w:sz w:val="20"/>
                <w:szCs w:val="20"/>
                <w:color w:val="auto"/>
              </w:rPr>
            </w:pPr>
            <w:r>
              <w:rPr>
                <w:rFonts w:ascii="Arial" w:cs="Arial" w:eastAsia="Arial" w:hAnsi="Arial"/>
                <w:sz w:val="13"/>
                <w:szCs w:val="13"/>
                <w:color w:val="3E474E"/>
              </w:rPr>
              <w:t>N/A</w:t>
            </w:r>
          </w:p>
        </w:tc>
        <w:tc>
          <w:tcPr>
            <w:tcW w:w="960" w:type="dxa"/>
            <w:vAlign w:val="bottom"/>
            <w:shd w:val="clear" w:color="auto" w:fill="E3EAEE"/>
          </w:tcPr>
          <w:p>
            <w:pPr>
              <w:jc w:val="right"/>
              <w:ind w:right="56"/>
              <w:spacing w:after="0"/>
              <w:rPr>
                <w:sz w:val="20"/>
                <w:szCs w:val="20"/>
                <w:color w:val="auto"/>
              </w:rPr>
            </w:pPr>
            <w:r>
              <w:rPr>
                <w:rFonts w:ascii="Arial" w:cs="Arial" w:eastAsia="Arial" w:hAnsi="Arial"/>
                <w:sz w:val="13"/>
                <w:szCs w:val="13"/>
                <w:color w:val="3E474E"/>
              </w:rPr>
              <w:t>N/A</w:t>
            </w:r>
          </w:p>
        </w:tc>
        <w:tc>
          <w:tcPr>
            <w:tcW w:w="1000" w:type="dxa"/>
            <w:vAlign w:val="bottom"/>
            <w:gridSpan w:val="2"/>
            <w:shd w:val="clear" w:color="auto" w:fill="E3EAEE"/>
          </w:tcPr>
          <w:p>
            <w:pPr>
              <w:ind w:left="680"/>
              <w:spacing w:after="0"/>
              <w:rPr>
                <w:sz w:val="20"/>
                <w:szCs w:val="20"/>
                <w:color w:val="auto"/>
              </w:rPr>
            </w:pPr>
            <w:r>
              <w:rPr>
                <w:rFonts w:ascii="Arial" w:cs="Arial" w:eastAsia="Arial" w:hAnsi="Arial"/>
                <w:sz w:val="13"/>
                <w:szCs w:val="13"/>
                <w:color w:val="3E474E"/>
              </w:rPr>
              <w:t>N/A</w:t>
            </w:r>
          </w:p>
        </w:tc>
        <w:tc>
          <w:tcPr>
            <w:tcW w:w="1260" w:type="dxa"/>
            <w:vAlign w:val="bottom"/>
            <w:shd w:val="clear" w:color="auto" w:fill="E3EAEE"/>
          </w:tcPr>
          <w:p>
            <w:pPr>
              <w:jc w:val="right"/>
              <w:ind w:right="35"/>
              <w:spacing w:after="0"/>
              <w:rPr>
                <w:sz w:val="20"/>
                <w:szCs w:val="20"/>
                <w:color w:val="auto"/>
              </w:rPr>
            </w:pPr>
            <w:r>
              <w:rPr>
                <w:rFonts w:ascii="Arial" w:cs="Arial" w:eastAsia="Arial" w:hAnsi="Arial"/>
                <w:sz w:val="13"/>
                <w:szCs w:val="13"/>
                <w:color w:val="3E474E"/>
              </w:rPr>
              <w:t>N/A</w:t>
            </w:r>
          </w:p>
        </w:tc>
        <w:tc>
          <w:tcPr>
            <w:tcW w:w="1560" w:type="dxa"/>
            <w:vAlign w:val="bottom"/>
            <w:shd w:val="clear" w:color="auto" w:fill="E3EAEE"/>
          </w:tcPr>
          <w:p>
            <w:pPr>
              <w:jc w:val="right"/>
              <w:spacing w:after="0"/>
              <w:rPr>
                <w:sz w:val="20"/>
                <w:szCs w:val="20"/>
                <w:color w:val="auto"/>
              </w:rPr>
            </w:pPr>
            <w:r>
              <w:rPr>
                <w:rFonts w:ascii="Arial" w:cs="Arial" w:eastAsia="Arial" w:hAnsi="Arial"/>
                <w:sz w:val="13"/>
                <w:szCs w:val="13"/>
                <w:color w:val="3E474E"/>
              </w:rPr>
              <w:t>N/A</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20" w:type="dxa"/>
            <w:vAlign w:val="bottom"/>
            <w:shd w:val="clear" w:color="auto" w:fill="E3EAEE"/>
          </w:tcPr>
          <w:p>
            <w:pPr>
              <w:spacing w:after="0"/>
              <w:rPr>
                <w:sz w:val="12"/>
                <w:szCs w:val="12"/>
                <w:color w:val="auto"/>
              </w:rPr>
            </w:pPr>
          </w:p>
        </w:tc>
        <w:tc>
          <w:tcPr>
            <w:tcW w:w="920" w:type="dxa"/>
            <w:vAlign w:val="bottom"/>
            <w:shd w:val="clear" w:color="auto" w:fill="E3EAEE"/>
          </w:tcPr>
          <w:p>
            <w:pPr>
              <w:spacing w:after="0"/>
              <w:rPr>
                <w:sz w:val="12"/>
                <w:szCs w:val="12"/>
                <w:color w:val="auto"/>
              </w:rPr>
            </w:pPr>
          </w:p>
        </w:tc>
        <w:tc>
          <w:tcPr>
            <w:tcW w:w="80" w:type="dxa"/>
            <w:vAlign w:val="bottom"/>
            <w:shd w:val="clear" w:color="auto" w:fill="E3EAEE"/>
          </w:tcPr>
          <w:p>
            <w:pPr>
              <w:spacing w:after="0"/>
              <w:rPr>
                <w:sz w:val="12"/>
                <w:szCs w:val="12"/>
                <w:color w:val="auto"/>
              </w:rPr>
            </w:pPr>
          </w:p>
        </w:tc>
        <w:tc>
          <w:tcPr>
            <w:tcW w:w="880" w:type="dxa"/>
            <w:vAlign w:val="bottom"/>
            <w:shd w:val="clear" w:color="auto" w:fill="E3EAEE"/>
          </w:tcPr>
          <w:p>
            <w:pPr>
              <w:spacing w:after="0"/>
              <w:rPr>
                <w:sz w:val="12"/>
                <w:szCs w:val="12"/>
                <w:color w:val="auto"/>
              </w:rPr>
            </w:pPr>
          </w:p>
        </w:tc>
        <w:tc>
          <w:tcPr>
            <w:tcW w:w="1020" w:type="dxa"/>
            <w:vAlign w:val="bottom"/>
            <w:shd w:val="clear" w:color="auto" w:fill="E3EAEE"/>
          </w:tcPr>
          <w:p>
            <w:pPr>
              <w:spacing w:after="0"/>
              <w:rPr>
                <w:sz w:val="12"/>
                <w:szCs w:val="12"/>
                <w:color w:val="auto"/>
              </w:rPr>
            </w:pPr>
          </w:p>
        </w:tc>
        <w:tc>
          <w:tcPr>
            <w:tcW w:w="80" w:type="dxa"/>
            <w:vAlign w:val="bottom"/>
            <w:shd w:val="clear" w:color="auto" w:fill="E3EAEE"/>
          </w:tcPr>
          <w:p>
            <w:pPr>
              <w:spacing w:after="0"/>
              <w:rPr>
                <w:sz w:val="12"/>
                <w:szCs w:val="12"/>
                <w:color w:val="auto"/>
              </w:rPr>
            </w:pPr>
          </w:p>
        </w:tc>
        <w:tc>
          <w:tcPr>
            <w:tcW w:w="1080" w:type="dxa"/>
            <w:vAlign w:val="bottom"/>
            <w:shd w:val="clear" w:color="auto" w:fill="E3EAEE"/>
          </w:tcPr>
          <w:p>
            <w:pPr>
              <w:spacing w:after="0"/>
              <w:rPr>
                <w:sz w:val="12"/>
                <w:szCs w:val="12"/>
                <w:color w:val="auto"/>
              </w:rPr>
            </w:pPr>
          </w:p>
        </w:tc>
        <w:tc>
          <w:tcPr>
            <w:tcW w:w="960" w:type="dxa"/>
            <w:vAlign w:val="bottom"/>
            <w:shd w:val="clear" w:color="auto" w:fill="E3EAEE"/>
          </w:tcPr>
          <w:p>
            <w:pPr>
              <w:spacing w:after="0"/>
              <w:rPr>
                <w:sz w:val="12"/>
                <w:szCs w:val="12"/>
                <w:color w:val="auto"/>
              </w:rPr>
            </w:pPr>
          </w:p>
        </w:tc>
        <w:tc>
          <w:tcPr>
            <w:tcW w:w="920" w:type="dxa"/>
            <w:vAlign w:val="bottom"/>
            <w:shd w:val="clear" w:color="auto" w:fill="E3EAEE"/>
          </w:tcPr>
          <w:p>
            <w:pPr>
              <w:spacing w:after="0"/>
              <w:rPr>
                <w:sz w:val="12"/>
                <w:szCs w:val="12"/>
                <w:color w:val="auto"/>
              </w:rPr>
            </w:pPr>
          </w:p>
        </w:tc>
        <w:tc>
          <w:tcPr>
            <w:tcW w:w="80" w:type="dxa"/>
            <w:vAlign w:val="bottom"/>
            <w:shd w:val="clear" w:color="auto" w:fill="E3EAEE"/>
          </w:tcPr>
          <w:p>
            <w:pPr>
              <w:spacing w:after="0"/>
              <w:rPr>
                <w:sz w:val="12"/>
                <w:szCs w:val="12"/>
                <w:color w:val="auto"/>
              </w:rPr>
            </w:pPr>
          </w:p>
        </w:tc>
        <w:tc>
          <w:tcPr>
            <w:tcW w:w="1260" w:type="dxa"/>
            <w:vAlign w:val="bottom"/>
            <w:shd w:val="clear" w:color="auto" w:fill="E3EAEE"/>
          </w:tcPr>
          <w:p>
            <w:pPr>
              <w:spacing w:after="0"/>
              <w:rPr>
                <w:sz w:val="12"/>
                <w:szCs w:val="12"/>
                <w:color w:val="auto"/>
              </w:rPr>
            </w:pPr>
          </w:p>
        </w:tc>
        <w:tc>
          <w:tcPr>
            <w:tcW w:w="1560" w:type="dxa"/>
            <w:vAlign w:val="bottom"/>
            <w:shd w:val="clear" w:color="auto" w:fill="E3EAE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60" w:type="dxa"/>
            <w:vAlign w:val="bottom"/>
          </w:tcPr>
          <w:p>
            <w:pPr>
              <w:jc w:val="center"/>
              <w:spacing w:after="0"/>
              <w:rPr>
                <w:sz w:val="20"/>
                <w:szCs w:val="20"/>
                <w:color w:val="auto"/>
              </w:rPr>
            </w:pPr>
            <w:r>
              <w:rPr>
                <w:rFonts w:ascii="Arial" w:cs="Arial" w:eastAsia="Arial" w:hAnsi="Arial"/>
                <w:sz w:val="13"/>
                <w:szCs w:val="13"/>
                <w:color w:val="3E474E"/>
                <w:w w:val="98"/>
              </w:rPr>
              <w:t>3/3/2025</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jc w:val="right"/>
              <w:ind w:right="95"/>
              <w:spacing w:after="0"/>
              <w:rPr>
                <w:sz w:val="20"/>
                <w:szCs w:val="20"/>
                <w:color w:val="auto"/>
              </w:rPr>
            </w:pPr>
            <w:r>
              <w:rPr>
                <w:rFonts w:ascii="Arial" w:cs="Arial" w:eastAsia="Arial" w:hAnsi="Arial"/>
                <w:sz w:val="13"/>
                <w:szCs w:val="13"/>
                <w:color w:val="3E474E"/>
              </w:rPr>
              <w:t>N/A</w:t>
            </w:r>
          </w:p>
        </w:tc>
        <w:tc>
          <w:tcPr>
            <w:tcW w:w="960" w:type="dxa"/>
            <w:vAlign w:val="bottom"/>
          </w:tcPr>
          <w:p>
            <w:pPr>
              <w:jc w:val="right"/>
              <w:ind w:right="56"/>
              <w:spacing w:after="0"/>
              <w:rPr>
                <w:sz w:val="20"/>
                <w:szCs w:val="20"/>
                <w:color w:val="auto"/>
              </w:rPr>
            </w:pPr>
            <w:r>
              <w:rPr>
                <w:rFonts w:ascii="Arial" w:cs="Arial" w:eastAsia="Arial" w:hAnsi="Arial"/>
                <w:sz w:val="13"/>
                <w:szCs w:val="13"/>
                <w:color w:val="3E474E"/>
              </w:rPr>
              <w:t>N/A</w:t>
            </w:r>
          </w:p>
        </w:tc>
        <w:tc>
          <w:tcPr>
            <w:tcW w:w="1000" w:type="dxa"/>
            <w:vAlign w:val="bottom"/>
            <w:gridSpan w:val="2"/>
          </w:tcPr>
          <w:p>
            <w:pPr>
              <w:ind w:left="680"/>
              <w:spacing w:after="0"/>
              <w:rPr>
                <w:sz w:val="20"/>
                <w:szCs w:val="20"/>
                <w:color w:val="auto"/>
              </w:rPr>
            </w:pPr>
            <w:r>
              <w:rPr>
                <w:rFonts w:ascii="Arial" w:cs="Arial" w:eastAsia="Arial" w:hAnsi="Arial"/>
                <w:sz w:val="13"/>
                <w:szCs w:val="13"/>
                <w:color w:val="3E474E"/>
              </w:rPr>
              <w:t>N/A</w:t>
            </w:r>
          </w:p>
        </w:tc>
        <w:tc>
          <w:tcPr>
            <w:tcW w:w="1260" w:type="dxa"/>
            <w:vAlign w:val="bottom"/>
          </w:tcPr>
          <w:p>
            <w:pPr>
              <w:jc w:val="right"/>
              <w:ind w:right="75"/>
              <w:spacing w:after="0"/>
              <w:rPr>
                <w:sz w:val="20"/>
                <w:szCs w:val="20"/>
                <w:color w:val="auto"/>
              </w:rPr>
            </w:pPr>
            <w:r>
              <w:rPr>
                <w:rFonts w:ascii="Arial" w:cs="Arial" w:eastAsia="Arial" w:hAnsi="Arial"/>
                <w:sz w:val="13"/>
                <w:szCs w:val="13"/>
                <w:color w:val="3E474E"/>
              </w:rPr>
              <w:t>34,900</w:t>
            </w:r>
          </w:p>
        </w:tc>
        <w:tc>
          <w:tcPr>
            <w:tcW w:w="1560" w:type="dxa"/>
            <w:vAlign w:val="bottom"/>
          </w:tcPr>
          <w:p>
            <w:pPr>
              <w:jc w:val="right"/>
              <w:spacing w:after="0"/>
              <w:rPr>
                <w:sz w:val="20"/>
                <w:szCs w:val="20"/>
                <w:color w:val="auto"/>
              </w:rPr>
            </w:pPr>
            <w:r>
              <w:rPr>
                <w:rFonts w:ascii="Arial" w:cs="Arial" w:eastAsia="Arial" w:hAnsi="Arial"/>
                <w:sz w:val="13"/>
                <w:szCs w:val="13"/>
                <w:color w:val="3E474E"/>
              </w:rPr>
              <w:t>320,382</w:t>
            </w:r>
          </w:p>
        </w:tc>
        <w:tc>
          <w:tcPr>
            <w:tcW w:w="0" w:type="dxa"/>
            <w:vAlign w:val="bottom"/>
          </w:tcPr>
          <w:p>
            <w:pPr>
              <w:spacing w:after="0"/>
              <w:rPr>
                <w:sz w:val="1"/>
                <w:szCs w:val="1"/>
                <w:color w:val="auto"/>
              </w:rPr>
            </w:pPr>
          </w:p>
        </w:tc>
      </w:tr>
    </w:tbl>
    <w:p>
      <w:pPr>
        <w:spacing w:after="0" w:line="382" w:lineRule="exact"/>
        <w:rPr>
          <w:sz w:val="20"/>
          <w:szCs w:val="20"/>
          <w:color w:val="auto"/>
        </w:rPr>
      </w:pPr>
    </w:p>
    <w:p>
      <w:pPr>
        <w:sectPr>
          <w:pgSz w:w="11900" w:h="16838" w:orient="portrait"/>
          <w:cols w:equalWidth="0" w:num="2">
            <w:col w:w="960" w:space="180"/>
            <w:col w:w="10100"/>
          </w:cols>
          <w:pgMar w:left="320" w:top="130" w:right="339" w:bottom="1440" w:gutter="0" w:footer="0" w:header="0"/>
          <w:type w:val="continuous"/>
        </w:sectPr>
      </w:pPr>
    </w:p>
    <w:p>
      <w:pPr>
        <w:spacing w:after="0" w:line="108" w:lineRule="exact"/>
        <w:rPr>
          <w:sz w:val="20"/>
          <w:szCs w:val="20"/>
          <w:color w:val="auto"/>
        </w:rPr>
      </w:pPr>
    </w:p>
    <w:p>
      <w:pPr>
        <w:ind w:left="140" w:hanging="132"/>
        <w:spacing w:after="0"/>
        <w:tabs>
          <w:tab w:leader="none" w:pos="140" w:val="left"/>
        </w:tabs>
        <w:numPr>
          <w:ilvl w:val="0"/>
          <w:numId w:val="79"/>
        </w:numPr>
        <w:rPr>
          <w:rFonts w:ascii="Arial" w:cs="Arial" w:eastAsia="Arial" w:hAnsi="Arial"/>
          <w:sz w:val="16"/>
          <w:szCs w:val="16"/>
          <w:color w:val="3E474E"/>
          <w:vertAlign w:val="superscript"/>
        </w:rPr>
      </w:pPr>
      <w:r>
        <w:rPr>
          <w:rFonts w:ascii="Arial" w:cs="Arial" w:eastAsia="Arial" w:hAnsi="Arial"/>
          <w:sz w:val="13"/>
          <w:szCs w:val="13"/>
          <w:color w:val="3E474E"/>
        </w:rPr>
        <w:t>Represents the cash portion of the 2025 STIP.</w:t>
      </w:r>
    </w:p>
    <w:p>
      <w:pPr>
        <w:spacing w:after="0" w:line="48" w:lineRule="exact"/>
        <w:rPr>
          <w:rFonts w:ascii="Arial" w:cs="Arial" w:eastAsia="Arial" w:hAnsi="Arial"/>
          <w:sz w:val="16"/>
          <w:szCs w:val="16"/>
          <w:color w:val="3E474E"/>
          <w:vertAlign w:val="superscript"/>
        </w:rPr>
      </w:pPr>
    </w:p>
    <w:p>
      <w:pPr>
        <w:ind w:left="140" w:hanging="132"/>
        <w:spacing w:after="0" w:line="200" w:lineRule="auto"/>
        <w:tabs>
          <w:tab w:leader="none" w:pos="140" w:val="left"/>
        </w:tabs>
        <w:numPr>
          <w:ilvl w:val="0"/>
          <w:numId w:val="79"/>
        </w:numPr>
        <w:rPr>
          <w:rFonts w:ascii="Arial" w:cs="Arial" w:eastAsia="Arial" w:hAnsi="Arial"/>
          <w:sz w:val="16"/>
          <w:szCs w:val="16"/>
          <w:color w:val="3E474E"/>
          <w:vertAlign w:val="superscript"/>
        </w:rPr>
      </w:pPr>
      <w:r>
        <w:rPr>
          <w:rFonts w:ascii="Arial" w:cs="Arial" w:eastAsia="Arial" w:hAnsi="Arial"/>
          <w:sz w:val="13"/>
          <w:szCs w:val="13"/>
          <w:color w:val="3E474E"/>
        </w:rPr>
        <w:t>For information regarding vesting periods and performance-based vesting conditions, see “Compensation Discussion and Analysis - 2025 Compensation Decisions” above.</w:t>
      </w:r>
    </w:p>
    <w:p>
      <w:pPr>
        <w:spacing w:after="0" w:line="49" w:lineRule="exact"/>
        <w:rPr>
          <w:rFonts w:ascii="Arial" w:cs="Arial" w:eastAsia="Arial" w:hAnsi="Arial"/>
          <w:sz w:val="16"/>
          <w:szCs w:val="16"/>
          <w:color w:val="3E474E"/>
          <w:vertAlign w:val="superscript"/>
        </w:rPr>
      </w:pPr>
    </w:p>
    <w:p>
      <w:pPr>
        <w:ind w:left="180" w:right="560" w:hanging="172"/>
        <w:spacing w:after="0" w:line="217" w:lineRule="auto"/>
        <w:tabs>
          <w:tab w:leader="none" w:pos="140" w:val="left"/>
        </w:tabs>
        <w:numPr>
          <w:ilvl w:val="0"/>
          <w:numId w:val="79"/>
        </w:numPr>
        <w:rPr>
          <w:rFonts w:ascii="Arial" w:cs="Arial" w:eastAsia="Arial" w:hAnsi="Arial"/>
          <w:sz w:val="16"/>
          <w:szCs w:val="16"/>
          <w:color w:val="3E474E"/>
          <w:vertAlign w:val="superscript"/>
        </w:rPr>
      </w:pPr>
      <w:r>
        <w:rPr>
          <w:rFonts w:ascii="Arial" w:cs="Arial" w:eastAsia="Arial" w:hAnsi="Arial"/>
          <w:sz w:val="13"/>
          <w:szCs w:val="13"/>
          <w:color w:val="3E474E"/>
        </w:rPr>
        <w:t>Time-Base equity awards under the 2025 LTIP are granted based upon the Reporting Person's continued employment at each vesting date and are not subject to performance-based vesting conditions.</w:t>
      </w:r>
    </w:p>
    <w:p>
      <w:pPr>
        <w:spacing w:after="0" w:line="32" w:lineRule="exact"/>
        <w:rPr>
          <w:rFonts w:ascii="Arial" w:cs="Arial" w:eastAsia="Arial" w:hAnsi="Arial"/>
          <w:sz w:val="16"/>
          <w:szCs w:val="16"/>
          <w:color w:val="3E474E"/>
          <w:vertAlign w:val="superscript"/>
        </w:rPr>
      </w:pPr>
    </w:p>
    <w:p>
      <w:pPr>
        <w:ind w:left="140" w:hanging="132"/>
        <w:spacing w:after="0"/>
        <w:tabs>
          <w:tab w:leader="none" w:pos="140" w:val="left"/>
        </w:tabs>
        <w:numPr>
          <w:ilvl w:val="0"/>
          <w:numId w:val="79"/>
        </w:numPr>
        <w:rPr>
          <w:rFonts w:ascii="Arial" w:cs="Arial" w:eastAsia="Arial" w:hAnsi="Arial"/>
          <w:sz w:val="16"/>
          <w:szCs w:val="16"/>
          <w:color w:val="3E474E"/>
          <w:vertAlign w:val="superscript"/>
        </w:rPr>
      </w:pPr>
      <w:r>
        <w:rPr>
          <w:rFonts w:ascii="Arial" w:cs="Arial" w:eastAsia="Arial" w:hAnsi="Arial"/>
          <w:sz w:val="13"/>
          <w:szCs w:val="13"/>
          <w:color w:val="3E474E"/>
        </w:rPr>
        <w:t>The grant date fair value of the equity awards was determined in accordance with FASB ASC Topic 718.</w:t>
      </w:r>
    </w:p>
    <w:p>
      <w:pPr>
        <w:spacing w:after="0" w:line="43" w:lineRule="exact"/>
        <w:rPr>
          <w:sz w:val="20"/>
          <w:szCs w:val="20"/>
          <w:color w:val="auto"/>
        </w:rPr>
      </w:pPr>
    </w:p>
    <w:p>
      <w:pPr>
        <w:ind w:left="180" w:hanging="172"/>
        <w:spacing w:after="0" w:line="236" w:lineRule="auto"/>
        <w:tabs>
          <w:tab w:leader="none" w:pos="140" w:val="left"/>
        </w:tabs>
        <w:numPr>
          <w:ilvl w:val="0"/>
          <w:numId w:val="80"/>
        </w:numPr>
        <w:rPr>
          <w:rFonts w:ascii="Arial" w:cs="Arial" w:eastAsia="Arial" w:hAnsi="Arial"/>
          <w:sz w:val="16"/>
          <w:szCs w:val="16"/>
          <w:color w:val="3E474E"/>
          <w:vertAlign w:val="superscript"/>
        </w:rPr>
      </w:pPr>
      <w:r>
        <w:rPr>
          <w:rFonts w:ascii="Arial" w:cs="Arial" w:eastAsia="Arial" w:hAnsi="Arial"/>
          <w:sz w:val="13"/>
          <w:szCs w:val="13"/>
          <w:color w:val="3E474E"/>
        </w:rPr>
        <w:t>We terminated the employment of Mr. Apperson effective May 31, 2025 (the “Separation Date”), without cause. In connection with the termination of Mr. Apperson’s employment, we and Mr. Apperson entered into the Separation Agreement pursuant to which Mr. Apperson is entitled to severance payments and other benefits that are consistent with the compensation and other benefits applicable to a Tier II participant under the Severance Plan, including the following: (i) a cash payment of $66,521, which reflects the pro-rata amount (based on the portion of 2025 that Mr. Apperson was employed by the Company) of Mr. Apperson’s target bonus under the 2025 STIP, (ii) $875,000, which is equal to two times Mr. Apperson's salary as of the Separation Date, (iii) $319,300, which is equal to two times Mr. Apperson's target bonus under the 2025 STIP and (iv) $41,637, which is equal to two times the sum of (1) Mr. Apperson’s annual COBRA premium for health plan coverage and (ii) Mr. Apperson's annual premium for life insurance, long-term disability insurance and accidental death and dismemberment insurance, in each case as in effect on the Separation Date. Additionally, pursuant to the Separation Agreement, the Company accelerated the vesting of an aggregate of 25,136 unvested shares of restricted stock and 12,346 unvested Time-Based LTIP Units held by Mr. Apperson, which represented all of Mr. Apperson’s outstanding unvested equity awards.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1478A3"/>
        </w:rPr>
        <w:t>Narrative to Summary Compensation Table and Grants of Plan-Based Awards Table</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3E474E"/>
        </w:rPr>
        <w:t>The following discussion should be read in conjunction with (i) the “Summary Compensation Table” and the “Grants of Plan-Based Awards Table” as well as the footnotes to such tables and (ii) the disclosure under the caption “Compensation Discussion and Analysis” above.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706755</wp:posOffset>
            </wp:positionV>
            <wp:extent cx="8255"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706755</wp:posOffset>
            </wp:positionV>
            <wp:extent cx="825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50</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color w:val="747C83"/>
        </w:rPr>
        <w:t>Compensation Table and Narratives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3E474E"/>
        </w:rPr>
        <w:t>The equity awards granted to our NEOs during 2025 that appear in the tables above were granted pursuant to the 2024 STIP, which is described in detail in the "Compensation Discussion and Analysis" section of our definitive proxy statement filed with the SEC on April 25, 2025, under the caption “Structure and Components of the Executive Compensation Program-Short Term Incentive Program.” Shares of restricted stock and Time-Based LTIP units awarded under the 2024 STIP were granted pursuant to the Equity Incentive Plan. The Equity Incentive Plan was approved by our Board and by our stockholders prior to the completion of our IPO in 2013. On June 14, 2017, the Company’s stockholders approved the Amended and Restated Equity Incentive Plan, which increased the number of shares of the Company’s common stock reserved for issuance by 1,000,000 shares. On June 14, 2023, the Company’s stockholders approved an amendment to the Equity Incentive Plan, which increased the number of shares of the Company’s common stock reserved for issuance by 1,700,000 shares. On June 18, 2025, the Company's stockholders approved an Amendment No. 2 to the Equity Incentive Plan, which increased the number of share of the Company's common stock reserved for issuance by 3,400,000 shares. The Equity Incentive Plan, as amended, provides for the grant of stock options, stock appreciation rights, stock awards, Time-Based LTIP units, Performance LTIP units, performance awards, dividend equivalents, incentive awards, and other equity-based incentive awards. All of our employees and the employees of our subsidiaries and affiliates, including the Operating Partnership, and members of our Board, are eligible to receive awards under the Equity Incentive Plan. The Equity Incentive Plan is administered by the Compensation Committee, which is comprised entirely of independent directors.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COMPENSATION MIX</w:t>
      </w:r>
    </w:p>
    <w:p>
      <w:pPr>
        <w:spacing w:after="0" w:line="113"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3E474E"/>
        </w:rPr>
        <w:t>As discussed in more detail under the caption “Compensation Discussion and Analysis - Structure and Components of the Executive Compensation Program” above, in 2025, the Company’s compensation program was comprised of base salary, short-term incentive in cash and long-term incentive in equity. The Compensation Committee did not allocate a fixed percentage of the NEO compensation packages to each of these elements and may, in its discretion, elect to change the mix of compensation between cash and equity in any particular year to achieve an appropriate balance among these elements and to incentivize our NEOs to focus on financial and operating results in the near term and the creation of stockholder value over the long term.</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OTHER PLANS, PERQUISITES, AND PERSONAL BENEFITS</w:t>
      </w:r>
    </w:p>
    <w:p>
      <w:pPr>
        <w:spacing w:after="0" w:line="11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3E474E"/>
        </w:rPr>
        <w:t>Each of our NEOs is eligible to participate in all of our compensatory and benefit plans on the same basis as our other employees. In addition, certain of our NEOs receive additional benefits, such as allowances for an automobile, club membership dues, tax return preparation fees, excess life insurance, concierge health services, and an executive physical exam. See “Summary Compensation Table” above. We also pay cash dividends to our employees, including our NEOs, on their unvested shares of restricted stock.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EMPLOYMENT AND SEVERANCE ARRANGEMENT</w:t>
      </w:r>
    </w:p>
    <w:p>
      <w:pPr>
        <w:spacing w:after="0" w:line="11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3E474E"/>
        </w:rPr>
        <w:t>We do not have employment or severance agreements with our NEOs. However, our Operating Partnership adopted the Executive Severance Benefit Plan (the “Severance Plan”), in which our NEOs, in their capacity as employees of our Operating Partnership, participate. In addition, on May 23, 2025, we entered into a Separation Agreement with Mr. Apperson in connection with his termination. See “Potential Payments Upon Termination or Change in Control” below.</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RETIREMENT PLANS</w:t>
      </w:r>
    </w:p>
    <w:p>
      <w:pPr>
        <w:spacing w:after="0" w:line="11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3E474E"/>
        </w:rPr>
        <w:t>We match a discretionary percentage of the contributions made by our employees, including our NEOs, to our 401(k) plan up to $10,000, excluding any catch up contributions. In 2025, this was a 50% match.</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EQUITY GRANT PRACTICES</w:t>
      </w:r>
    </w:p>
    <w:p>
      <w:pPr>
        <w:spacing w:after="0" w:line="11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3E474E"/>
        </w:rPr>
        <w:t>We do not make stock option awards to our executive officers or directors. To the extent the Board and/or the Compensation Committee chooses to make stock option awards to executive officers or directors in the future, the Board and/or the Compensation Committee will not seek to time stock option grants to take advantage of material non-public information (“MNPI”), either positive or negative, about the Company which has not been publicly disseminated. We have not timed the disclosure of MNPI for the purpose of affecting the value of executive or director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3E474E"/>
        </w:rPr>
        <w:t>During the fiscal year ended December 31, 2025, we did not award any options to any 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51</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09"/>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747C83"/>
        </w:rPr>
        <w:t>Compensation Table and Narratives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478A3"/>
        </w:rPr>
        <w:t>Outstanding Equity Awards at Fiscal Year-End December 31, 2025</w:t>
      </w:r>
    </w:p>
    <w:p>
      <w:pPr>
        <w:spacing w:after="0" w:line="5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3E474E"/>
        </w:rPr>
        <w:t>The following table presents information about our NEOs' outstanding equity awards as of December 31, 2025. The equity awards consist of time-vesting restricted shares of common stock, Time-Based LTIP units and Performance-Based LTIP units. In connection with the termination of the employment of Mr. Apperson on May 21, 2025, we accelerated the vesting of 25,136 unvested shares of restricted stock and 12,346 unvested LTIP Units. Accordingly, as of December 31, 2025, Mr. Apperson holds no outstanding equity awards.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shd w:val="clear" w:color="auto" w:fill="E3EAEE"/>
          </w:tcPr>
          <w:p>
            <w:pPr>
              <w:spacing w:after="0"/>
              <w:rPr>
                <w:sz w:val="16"/>
                <w:szCs w:val="16"/>
                <w:color w:val="auto"/>
              </w:rPr>
            </w:pPr>
          </w:p>
        </w:tc>
        <w:tc>
          <w:tcPr>
            <w:tcW w:w="260" w:type="dxa"/>
            <w:vAlign w:val="bottom"/>
            <w:shd w:val="clear" w:color="auto" w:fill="E3EAEE"/>
          </w:tcPr>
          <w:p>
            <w:pPr>
              <w:spacing w:after="0"/>
              <w:rPr>
                <w:sz w:val="16"/>
                <w:szCs w:val="16"/>
                <w:color w:val="auto"/>
              </w:rPr>
            </w:pPr>
          </w:p>
        </w:tc>
        <w:tc>
          <w:tcPr>
            <w:tcW w:w="1080" w:type="dxa"/>
            <w:vAlign w:val="bottom"/>
            <w:shd w:val="clear" w:color="auto" w:fill="E3EAEE"/>
          </w:tcPr>
          <w:p>
            <w:pPr>
              <w:spacing w:after="0"/>
              <w:rPr>
                <w:sz w:val="16"/>
                <w:szCs w:val="16"/>
                <w:color w:val="auto"/>
              </w:rPr>
            </w:pPr>
          </w:p>
        </w:tc>
        <w:tc>
          <w:tcPr>
            <w:tcW w:w="320" w:type="dxa"/>
            <w:vAlign w:val="bottom"/>
            <w:shd w:val="clear" w:color="auto" w:fill="E3EAEE"/>
          </w:tcPr>
          <w:p>
            <w:pPr>
              <w:spacing w:after="0"/>
              <w:rPr>
                <w:sz w:val="16"/>
                <w:szCs w:val="16"/>
                <w:color w:val="auto"/>
              </w:rPr>
            </w:pPr>
          </w:p>
        </w:tc>
        <w:tc>
          <w:tcPr>
            <w:tcW w:w="1940" w:type="dxa"/>
            <w:vAlign w:val="bottom"/>
            <w:shd w:val="clear" w:color="auto" w:fill="E3EAEE"/>
          </w:tcPr>
          <w:p>
            <w:pPr>
              <w:spacing w:after="0"/>
              <w:rPr>
                <w:sz w:val="16"/>
                <w:szCs w:val="16"/>
                <w:color w:val="auto"/>
              </w:rPr>
            </w:pPr>
          </w:p>
        </w:tc>
        <w:tc>
          <w:tcPr>
            <w:tcW w:w="2020" w:type="dxa"/>
            <w:vAlign w:val="bottom"/>
            <w:shd w:val="clear" w:color="auto" w:fill="E3EAEE"/>
          </w:tcPr>
          <w:p>
            <w:pPr>
              <w:spacing w:after="0"/>
              <w:rPr>
                <w:sz w:val="16"/>
                <w:szCs w:val="16"/>
                <w:color w:val="auto"/>
              </w:rPr>
            </w:pPr>
          </w:p>
        </w:tc>
        <w:tc>
          <w:tcPr>
            <w:tcW w:w="2080" w:type="dxa"/>
            <w:vAlign w:val="bottom"/>
            <w:shd w:val="clear" w:color="auto" w:fill="E3EAEE"/>
          </w:tcPr>
          <w:p>
            <w:pPr>
              <w:spacing w:after="0"/>
              <w:rPr>
                <w:sz w:val="16"/>
                <w:szCs w:val="16"/>
                <w:color w:val="auto"/>
              </w:rPr>
            </w:pPr>
          </w:p>
        </w:tc>
        <w:tc>
          <w:tcPr>
            <w:tcW w:w="1900" w:type="dxa"/>
            <w:vAlign w:val="bottom"/>
            <w:shd w:val="clear" w:color="auto" w:fill="E3EAEE"/>
          </w:tcPr>
          <w:p>
            <w:pPr>
              <w:jc w:val="right"/>
              <w:spacing w:after="0"/>
              <w:rPr>
                <w:sz w:val="20"/>
                <w:szCs w:val="20"/>
                <w:color w:val="auto"/>
              </w:rPr>
            </w:pPr>
            <w:r>
              <w:rPr>
                <w:rFonts w:ascii="Arial" w:cs="Arial" w:eastAsia="Arial" w:hAnsi="Arial"/>
                <w:sz w:val="14"/>
                <w:szCs w:val="14"/>
                <w:b w:val="1"/>
                <w:bCs w:val="1"/>
                <w:color w:val="1478A3"/>
              </w:rPr>
              <w:t>Long-Term Incentive</w:t>
            </w:r>
          </w:p>
        </w:tc>
        <w:tc>
          <w:tcPr>
            <w:tcW w:w="0" w:type="dxa"/>
            <w:vAlign w:val="bottom"/>
          </w:tcPr>
          <w:p>
            <w:pPr>
              <w:spacing w:after="0"/>
              <w:rPr>
                <w:sz w:val="1"/>
                <w:szCs w:val="1"/>
                <w:color w:val="auto"/>
              </w:rPr>
            </w:pPr>
          </w:p>
        </w:tc>
      </w:tr>
      <w:tr>
        <w:trPr>
          <w:trHeight w:val="176"/>
        </w:trPr>
        <w:tc>
          <w:tcPr>
            <w:tcW w:w="1080" w:type="dxa"/>
            <w:vAlign w:val="bottom"/>
            <w:shd w:val="clear" w:color="auto" w:fill="E3EAEE"/>
          </w:tcPr>
          <w:p>
            <w:pPr>
              <w:spacing w:after="0"/>
              <w:rPr>
                <w:sz w:val="15"/>
                <w:szCs w:val="15"/>
                <w:color w:val="auto"/>
              </w:rPr>
            </w:pPr>
          </w:p>
        </w:tc>
        <w:tc>
          <w:tcPr>
            <w:tcW w:w="260" w:type="dxa"/>
            <w:vAlign w:val="bottom"/>
            <w:shd w:val="clear" w:color="auto" w:fill="E3EAEE"/>
          </w:tcPr>
          <w:p>
            <w:pPr>
              <w:spacing w:after="0"/>
              <w:rPr>
                <w:sz w:val="15"/>
                <w:szCs w:val="15"/>
                <w:color w:val="auto"/>
              </w:rPr>
            </w:pPr>
          </w:p>
        </w:tc>
        <w:tc>
          <w:tcPr>
            <w:tcW w:w="1080" w:type="dxa"/>
            <w:vAlign w:val="bottom"/>
            <w:shd w:val="clear" w:color="auto" w:fill="E3EAEE"/>
          </w:tcPr>
          <w:p>
            <w:pPr>
              <w:spacing w:after="0"/>
              <w:rPr>
                <w:sz w:val="15"/>
                <w:szCs w:val="15"/>
                <w:color w:val="auto"/>
              </w:rPr>
            </w:pPr>
          </w:p>
        </w:tc>
        <w:tc>
          <w:tcPr>
            <w:tcW w:w="320" w:type="dxa"/>
            <w:vAlign w:val="bottom"/>
            <w:shd w:val="clear" w:color="auto" w:fill="E3EAEE"/>
          </w:tcPr>
          <w:p>
            <w:pPr>
              <w:spacing w:after="0"/>
              <w:rPr>
                <w:sz w:val="15"/>
                <w:szCs w:val="15"/>
                <w:color w:val="auto"/>
              </w:rPr>
            </w:pPr>
          </w:p>
        </w:tc>
        <w:tc>
          <w:tcPr>
            <w:tcW w:w="1940" w:type="dxa"/>
            <w:vAlign w:val="bottom"/>
            <w:shd w:val="clear" w:color="auto" w:fill="E3EAEE"/>
          </w:tcPr>
          <w:p>
            <w:pPr>
              <w:spacing w:after="0"/>
              <w:rPr>
                <w:sz w:val="15"/>
                <w:szCs w:val="15"/>
                <w:color w:val="auto"/>
              </w:rPr>
            </w:pPr>
          </w:p>
        </w:tc>
        <w:tc>
          <w:tcPr>
            <w:tcW w:w="2020" w:type="dxa"/>
            <w:vAlign w:val="bottom"/>
            <w:shd w:val="clear" w:color="auto" w:fill="E3EAEE"/>
          </w:tcPr>
          <w:p>
            <w:pPr>
              <w:spacing w:after="0"/>
              <w:rPr>
                <w:sz w:val="15"/>
                <w:szCs w:val="15"/>
                <w:color w:val="auto"/>
              </w:rPr>
            </w:pPr>
          </w:p>
        </w:tc>
        <w:tc>
          <w:tcPr>
            <w:tcW w:w="2080" w:type="dxa"/>
            <w:vAlign w:val="bottom"/>
            <w:shd w:val="clear" w:color="auto" w:fill="E3EAEE"/>
          </w:tcPr>
          <w:p>
            <w:pPr>
              <w:jc w:val="right"/>
              <w:ind w:right="122"/>
              <w:spacing w:after="0"/>
              <w:rPr>
                <w:sz w:val="20"/>
                <w:szCs w:val="20"/>
                <w:color w:val="auto"/>
              </w:rPr>
            </w:pPr>
            <w:r>
              <w:rPr>
                <w:rFonts w:ascii="Arial" w:cs="Arial" w:eastAsia="Arial" w:hAnsi="Arial"/>
                <w:sz w:val="14"/>
                <w:szCs w:val="14"/>
                <w:b w:val="1"/>
                <w:bCs w:val="1"/>
                <w:color w:val="1478A3"/>
              </w:rPr>
              <w:t>Long-Term Incentive</w:t>
            </w:r>
          </w:p>
        </w:tc>
        <w:tc>
          <w:tcPr>
            <w:tcW w:w="1900" w:type="dxa"/>
            <w:vAlign w:val="bottom"/>
            <w:shd w:val="clear" w:color="auto" w:fill="E3EAEE"/>
          </w:tcPr>
          <w:p>
            <w:pPr>
              <w:jc w:val="right"/>
              <w:spacing w:after="0"/>
              <w:rPr>
                <w:sz w:val="20"/>
                <w:szCs w:val="20"/>
                <w:color w:val="auto"/>
              </w:rPr>
            </w:pPr>
            <w:r>
              <w:rPr>
                <w:rFonts w:ascii="Arial" w:cs="Arial" w:eastAsia="Arial" w:hAnsi="Arial"/>
                <w:sz w:val="14"/>
                <w:szCs w:val="14"/>
                <w:b w:val="1"/>
                <w:bCs w:val="1"/>
                <w:color w:val="1478A3"/>
              </w:rPr>
              <w:t>Program Awards: Market</w:t>
            </w:r>
          </w:p>
        </w:tc>
        <w:tc>
          <w:tcPr>
            <w:tcW w:w="0" w:type="dxa"/>
            <w:vAlign w:val="bottom"/>
          </w:tcPr>
          <w:p>
            <w:pPr>
              <w:spacing w:after="0"/>
              <w:rPr>
                <w:sz w:val="1"/>
                <w:szCs w:val="1"/>
                <w:color w:val="auto"/>
              </w:rPr>
            </w:pPr>
          </w:p>
        </w:tc>
      </w:tr>
      <w:tr>
        <w:trPr>
          <w:trHeight w:val="175"/>
        </w:trPr>
        <w:tc>
          <w:tcPr>
            <w:tcW w:w="1080" w:type="dxa"/>
            <w:vAlign w:val="bottom"/>
            <w:shd w:val="clear" w:color="auto" w:fill="E3EAEE"/>
          </w:tcPr>
          <w:p>
            <w:pPr>
              <w:spacing w:after="0"/>
              <w:rPr>
                <w:sz w:val="15"/>
                <w:szCs w:val="15"/>
                <w:color w:val="auto"/>
              </w:rPr>
            </w:pPr>
          </w:p>
        </w:tc>
        <w:tc>
          <w:tcPr>
            <w:tcW w:w="260" w:type="dxa"/>
            <w:vAlign w:val="bottom"/>
            <w:shd w:val="clear" w:color="auto" w:fill="E3EAEE"/>
          </w:tcPr>
          <w:p>
            <w:pPr>
              <w:spacing w:after="0"/>
              <w:rPr>
                <w:sz w:val="15"/>
                <w:szCs w:val="15"/>
                <w:color w:val="auto"/>
              </w:rPr>
            </w:pPr>
          </w:p>
        </w:tc>
        <w:tc>
          <w:tcPr>
            <w:tcW w:w="1080" w:type="dxa"/>
            <w:vAlign w:val="bottom"/>
            <w:shd w:val="clear" w:color="auto" w:fill="E3EAEE"/>
          </w:tcPr>
          <w:p>
            <w:pPr>
              <w:spacing w:after="0"/>
              <w:rPr>
                <w:sz w:val="15"/>
                <w:szCs w:val="15"/>
                <w:color w:val="auto"/>
              </w:rPr>
            </w:pPr>
          </w:p>
        </w:tc>
        <w:tc>
          <w:tcPr>
            <w:tcW w:w="320" w:type="dxa"/>
            <w:vAlign w:val="bottom"/>
            <w:shd w:val="clear" w:color="auto" w:fill="E3EAEE"/>
          </w:tcPr>
          <w:p>
            <w:pPr>
              <w:spacing w:after="0"/>
              <w:rPr>
                <w:sz w:val="15"/>
                <w:szCs w:val="15"/>
                <w:color w:val="auto"/>
              </w:rPr>
            </w:pPr>
          </w:p>
        </w:tc>
        <w:tc>
          <w:tcPr>
            <w:tcW w:w="1940" w:type="dxa"/>
            <w:vAlign w:val="bottom"/>
            <w:shd w:val="clear" w:color="auto" w:fill="E3EAEE"/>
          </w:tcPr>
          <w:p>
            <w:pPr>
              <w:spacing w:after="0"/>
              <w:rPr>
                <w:sz w:val="15"/>
                <w:szCs w:val="15"/>
                <w:color w:val="auto"/>
              </w:rPr>
            </w:pPr>
          </w:p>
        </w:tc>
        <w:tc>
          <w:tcPr>
            <w:tcW w:w="2020" w:type="dxa"/>
            <w:vAlign w:val="bottom"/>
            <w:shd w:val="clear" w:color="auto" w:fill="E3EAEE"/>
          </w:tcPr>
          <w:p>
            <w:pPr>
              <w:jc w:val="right"/>
              <w:ind w:right="102"/>
              <w:spacing w:after="0"/>
              <w:rPr>
                <w:sz w:val="20"/>
                <w:szCs w:val="20"/>
                <w:color w:val="auto"/>
              </w:rPr>
            </w:pPr>
            <w:r>
              <w:rPr>
                <w:rFonts w:ascii="Arial" w:cs="Arial" w:eastAsia="Arial" w:hAnsi="Arial"/>
                <w:sz w:val="14"/>
                <w:szCs w:val="14"/>
                <w:b w:val="1"/>
                <w:bCs w:val="1"/>
                <w:color w:val="1478A3"/>
              </w:rPr>
              <w:t>Market Value of Shares</w:t>
            </w:r>
          </w:p>
        </w:tc>
        <w:tc>
          <w:tcPr>
            <w:tcW w:w="2080" w:type="dxa"/>
            <w:vAlign w:val="bottom"/>
            <w:shd w:val="clear" w:color="auto" w:fill="E3EAEE"/>
          </w:tcPr>
          <w:p>
            <w:pPr>
              <w:jc w:val="right"/>
              <w:ind w:right="122"/>
              <w:spacing w:after="0"/>
              <w:rPr>
                <w:sz w:val="20"/>
                <w:szCs w:val="20"/>
                <w:color w:val="auto"/>
              </w:rPr>
            </w:pPr>
            <w:r>
              <w:rPr>
                <w:rFonts w:ascii="Arial" w:cs="Arial" w:eastAsia="Arial" w:hAnsi="Arial"/>
                <w:sz w:val="14"/>
                <w:szCs w:val="14"/>
                <w:b w:val="1"/>
                <w:bCs w:val="1"/>
                <w:color w:val="1478A3"/>
              </w:rPr>
              <w:t>Program Awards:</w:t>
            </w:r>
          </w:p>
        </w:tc>
        <w:tc>
          <w:tcPr>
            <w:tcW w:w="1900" w:type="dxa"/>
            <w:vAlign w:val="bottom"/>
            <w:shd w:val="clear" w:color="auto" w:fill="E3EAEE"/>
          </w:tcPr>
          <w:p>
            <w:pPr>
              <w:jc w:val="right"/>
              <w:spacing w:after="0"/>
              <w:rPr>
                <w:sz w:val="20"/>
                <w:szCs w:val="20"/>
                <w:color w:val="auto"/>
              </w:rPr>
            </w:pPr>
            <w:r>
              <w:rPr>
                <w:rFonts w:ascii="Arial" w:cs="Arial" w:eastAsia="Arial" w:hAnsi="Arial"/>
                <w:sz w:val="14"/>
                <w:szCs w:val="14"/>
                <w:b w:val="1"/>
                <w:bCs w:val="1"/>
                <w:color w:val="1478A3"/>
              </w:rPr>
              <w:t>Value of Unearned</w:t>
            </w:r>
          </w:p>
        </w:tc>
        <w:tc>
          <w:tcPr>
            <w:tcW w:w="0" w:type="dxa"/>
            <w:vAlign w:val="bottom"/>
          </w:tcPr>
          <w:p>
            <w:pPr>
              <w:spacing w:after="0"/>
              <w:rPr>
                <w:sz w:val="1"/>
                <w:szCs w:val="1"/>
                <w:color w:val="auto"/>
              </w:rPr>
            </w:pPr>
          </w:p>
        </w:tc>
      </w:tr>
      <w:tr>
        <w:trPr>
          <w:trHeight w:val="173"/>
        </w:trPr>
        <w:tc>
          <w:tcPr>
            <w:tcW w:w="1080" w:type="dxa"/>
            <w:vAlign w:val="bottom"/>
            <w:shd w:val="clear" w:color="auto" w:fill="E3EAEE"/>
          </w:tcPr>
          <w:p>
            <w:pPr>
              <w:spacing w:after="0"/>
              <w:rPr>
                <w:sz w:val="15"/>
                <w:szCs w:val="15"/>
                <w:color w:val="auto"/>
              </w:rPr>
            </w:pPr>
          </w:p>
        </w:tc>
        <w:tc>
          <w:tcPr>
            <w:tcW w:w="260" w:type="dxa"/>
            <w:vAlign w:val="bottom"/>
            <w:shd w:val="clear" w:color="auto" w:fill="E3EAEE"/>
          </w:tcPr>
          <w:p>
            <w:pPr>
              <w:spacing w:after="0"/>
              <w:rPr>
                <w:sz w:val="15"/>
                <w:szCs w:val="15"/>
                <w:color w:val="auto"/>
              </w:rPr>
            </w:pPr>
          </w:p>
        </w:tc>
        <w:tc>
          <w:tcPr>
            <w:tcW w:w="1080" w:type="dxa"/>
            <w:vAlign w:val="bottom"/>
            <w:shd w:val="clear" w:color="auto" w:fill="E3EAEE"/>
          </w:tcPr>
          <w:p>
            <w:pPr>
              <w:spacing w:after="0"/>
              <w:rPr>
                <w:sz w:val="15"/>
                <w:szCs w:val="15"/>
                <w:color w:val="auto"/>
              </w:rPr>
            </w:pPr>
          </w:p>
        </w:tc>
        <w:tc>
          <w:tcPr>
            <w:tcW w:w="320" w:type="dxa"/>
            <w:vAlign w:val="bottom"/>
            <w:shd w:val="clear" w:color="auto" w:fill="E3EAEE"/>
          </w:tcPr>
          <w:p>
            <w:pPr>
              <w:spacing w:after="0"/>
              <w:rPr>
                <w:sz w:val="15"/>
                <w:szCs w:val="15"/>
                <w:color w:val="auto"/>
              </w:rPr>
            </w:pPr>
          </w:p>
        </w:tc>
        <w:tc>
          <w:tcPr>
            <w:tcW w:w="1940" w:type="dxa"/>
            <w:vAlign w:val="bottom"/>
            <w:shd w:val="clear" w:color="auto" w:fill="E3EAEE"/>
          </w:tcPr>
          <w:p>
            <w:pPr>
              <w:jc w:val="center"/>
              <w:ind w:right="123"/>
              <w:spacing w:after="0"/>
              <w:rPr>
                <w:sz w:val="20"/>
                <w:szCs w:val="20"/>
                <w:color w:val="auto"/>
              </w:rPr>
            </w:pPr>
            <w:r>
              <w:rPr>
                <w:rFonts w:ascii="Arial" w:cs="Arial" w:eastAsia="Arial" w:hAnsi="Arial"/>
                <w:sz w:val="14"/>
                <w:szCs w:val="14"/>
                <w:b w:val="1"/>
                <w:bCs w:val="1"/>
                <w:color w:val="1478A3"/>
              </w:rPr>
              <w:t>Number of Shares or</w:t>
            </w:r>
          </w:p>
        </w:tc>
        <w:tc>
          <w:tcPr>
            <w:tcW w:w="2020" w:type="dxa"/>
            <w:vAlign w:val="bottom"/>
            <w:shd w:val="clear" w:color="auto" w:fill="E3EAEE"/>
          </w:tcPr>
          <w:p>
            <w:pPr>
              <w:jc w:val="right"/>
              <w:ind w:right="102"/>
              <w:spacing w:after="0"/>
              <w:rPr>
                <w:sz w:val="20"/>
                <w:szCs w:val="20"/>
                <w:color w:val="auto"/>
              </w:rPr>
            </w:pPr>
            <w:r>
              <w:rPr>
                <w:rFonts w:ascii="Arial" w:cs="Arial" w:eastAsia="Arial" w:hAnsi="Arial"/>
                <w:sz w:val="14"/>
                <w:szCs w:val="14"/>
                <w:b w:val="1"/>
                <w:bCs w:val="1"/>
                <w:color w:val="1478A3"/>
              </w:rPr>
              <w:t>or Units of Stock That</w:t>
            </w:r>
          </w:p>
        </w:tc>
        <w:tc>
          <w:tcPr>
            <w:tcW w:w="2080" w:type="dxa"/>
            <w:vAlign w:val="bottom"/>
            <w:shd w:val="clear" w:color="auto" w:fill="E3EAEE"/>
          </w:tcPr>
          <w:p>
            <w:pPr>
              <w:jc w:val="right"/>
              <w:ind w:right="122"/>
              <w:spacing w:after="0"/>
              <w:rPr>
                <w:sz w:val="20"/>
                <w:szCs w:val="20"/>
                <w:color w:val="auto"/>
              </w:rPr>
            </w:pPr>
            <w:r>
              <w:rPr>
                <w:rFonts w:ascii="Arial" w:cs="Arial" w:eastAsia="Arial" w:hAnsi="Arial"/>
                <w:sz w:val="14"/>
                <w:szCs w:val="14"/>
                <w:b w:val="1"/>
                <w:bCs w:val="1"/>
                <w:color w:val="1478A3"/>
              </w:rPr>
              <w:t>Unearned Shares or</w:t>
            </w:r>
          </w:p>
        </w:tc>
        <w:tc>
          <w:tcPr>
            <w:tcW w:w="1900" w:type="dxa"/>
            <w:vAlign w:val="bottom"/>
            <w:shd w:val="clear" w:color="auto" w:fill="E3EAEE"/>
          </w:tcPr>
          <w:p>
            <w:pPr>
              <w:jc w:val="right"/>
              <w:spacing w:after="0"/>
              <w:rPr>
                <w:sz w:val="20"/>
                <w:szCs w:val="20"/>
                <w:color w:val="auto"/>
              </w:rPr>
            </w:pPr>
            <w:r>
              <w:rPr>
                <w:rFonts w:ascii="Arial" w:cs="Arial" w:eastAsia="Arial" w:hAnsi="Arial"/>
                <w:sz w:val="14"/>
                <w:szCs w:val="14"/>
                <w:b w:val="1"/>
                <w:bCs w:val="1"/>
                <w:color w:val="1478A3"/>
              </w:rPr>
              <w:t>Shares or Units of Stock</w:t>
            </w:r>
          </w:p>
        </w:tc>
        <w:tc>
          <w:tcPr>
            <w:tcW w:w="0" w:type="dxa"/>
            <w:vAlign w:val="bottom"/>
          </w:tcPr>
          <w:p>
            <w:pPr>
              <w:spacing w:after="0"/>
              <w:rPr>
                <w:sz w:val="1"/>
                <w:szCs w:val="1"/>
                <w:color w:val="auto"/>
              </w:rPr>
            </w:pPr>
          </w:p>
        </w:tc>
      </w:tr>
      <w:tr>
        <w:trPr>
          <w:trHeight w:val="164"/>
        </w:trPr>
        <w:tc>
          <w:tcPr>
            <w:tcW w:w="1080" w:type="dxa"/>
            <w:vAlign w:val="bottom"/>
            <w:shd w:val="clear" w:color="auto" w:fill="E3EAEE"/>
          </w:tcPr>
          <w:p>
            <w:pPr>
              <w:spacing w:after="0"/>
              <w:rPr>
                <w:sz w:val="14"/>
                <w:szCs w:val="14"/>
                <w:color w:val="auto"/>
              </w:rPr>
            </w:pPr>
          </w:p>
        </w:tc>
        <w:tc>
          <w:tcPr>
            <w:tcW w:w="260" w:type="dxa"/>
            <w:vAlign w:val="bottom"/>
            <w:shd w:val="clear" w:color="auto" w:fill="E3EAEE"/>
          </w:tcPr>
          <w:p>
            <w:pPr>
              <w:spacing w:after="0"/>
              <w:rPr>
                <w:sz w:val="14"/>
                <w:szCs w:val="14"/>
                <w:color w:val="auto"/>
              </w:rPr>
            </w:pPr>
          </w:p>
        </w:tc>
        <w:tc>
          <w:tcPr>
            <w:tcW w:w="1080" w:type="dxa"/>
            <w:vAlign w:val="bottom"/>
            <w:shd w:val="clear" w:color="auto" w:fill="E3EAEE"/>
          </w:tcPr>
          <w:p>
            <w:pPr>
              <w:spacing w:after="0"/>
              <w:rPr>
                <w:sz w:val="14"/>
                <w:szCs w:val="14"/>
                <w:color w:val="auto"/>
              </w:rPr>
            </w:pPr>
          </w:p>
        </w:tc>
        <w:tc>
          <w:tcPr>
            <w:tcW w:w="320" w:type="dxa"/>
            <w:vAlign w:val="bottom"/>
            <w:shd w:val="clear" w:color="auto" w:fill="E3EAEE"/>
          </w:tcPr>
          <w:p>
            <w:pPr>
              <w:spacing w:after="0"/>
              <w:rPr>
                <w:sz w:val="14"/>
                <w:szCs w:val="14"/>
                <w:color w:val="auto"/>
              </w:rPr>
            </w:pPr>
          </w:p>
        </w:tc>
        <w:tc>
          <w:tcPr>
            <w:tcW w:w="1940" w:type="dxa"/>
            <w:vAlign w:val="bottom"/>
            <w:shd w:val="clear" w:color="auto" w:fill="E3EAEE"/>
          </w:tcPr>
          <w:p>
            <w:pPr>
              <w:jc w:val="center"/>
              <w:ind w:right="123"/>
              <w:spacing w:after="0"/>
              <w:rPr>
                <w:sz w:val="20"/>
                <w:szCs w:val="20"/>
                <w:color w:val="auto"/>
              </w:rPr>
            </w:pPr>
            <w:r>
              <w:rPr>
                <w:rFonts w:ascii="Arial" w:cs="Arial" w:eastAsia="Arial" w:hAnsi="Arial"/>
                <w:sz w:val="14"/>
                <w:szCs w:val="14"/>
                <w:b w:val="1"/>
                <w:bCs w:val="1"/>
                <w:color w:val="1478A3"/>
              </w:rPr>
              <w:t>Units of Stock That</w:t>
            </w:r>
          </w:p>
        </w:tc>
        <w:tc>
          <w:tcPr>
            <w:tcW w:w="2020" w:type="dxa"/>
            <w:vAlign w:val="bottom"/>
            <w:shd w:val="clear" w:color="auto" w:fill="E3EAEE"/>
          </w:tcPr>
          <w:p>
            <w:pPr>
              <w:jc w:val="right"/>
              <w:ind w:right="102"/>
              <w:spacing w:after="0" w:line="164" w:lineRule="exact"/>
              <w:rPr>
                <w:sz w:val="20"/>
                <w:szCs w:val="20"/>
                <w:color w:val="auto"/>
              </w:rPr>
            </w:pPr>
            <w:r>
              <w:rPr>
                <w:rFonts w:ascii="Arial" w:cs="Arial" w:eastAsia="Arial" w:hAnsi="Arial"/>
                <w:sz w:val="14"/>
                <w:szCs w:val="14"/>
                <w:b w:val="1"/>
                <w:bCs w:val="1"/>
                <w:color w:val="1478A3"/>
              </w:rPr>
              <w:t>Have Not Vested</w:t>
            </w:r>
            <w:r>
              <w:rPr>
                <w:rFonts w:ascii="Arial" w:cs="Arial" w:eastAsia="Arial" w:hAnsi="Arial"/>
                <w:sz w:val="18"/>
                <w:szCs w:val="18"/>
                <w:b w:val="1"/>
                <w:bCs w:val="1"/>
                <w:color w:val="1478A3"/>
                <w:vertAlign w:val="superscript"/>
              </w:rPr>
              <w:t>(2)</w:t>
            </w:r>
          </w:p>
        </w:tc>
        <w:tc>
          <w:tcPr>
            <w:tcW w:w="2080" w:type="dxa"/>
            <w:vAlign w:val="bottom"/>
            <w:shd w:val="clear" w:color="auto" w:fill="E3EAEE"/>
          </w:tcPr>
          <w:p>
            <w:pPr>
              <w:jc w:val="right"/>
              <w:ind w:right="122"/>
              <w:spacing w:after="0"/>
              <w:rPr>
                <w:sz w:val="20"/>
                <w:szCs w:val="20"/>
                <w:color w:val="auto"/>
              </w:rPr>
            </w:pPr>
            <w:r>
              <w:rPr>
                <w:rFonts w:ascii="Arial" w:cs="Arial" w:eastAsia="Arial" w:hAnsi="Arial"/>
                <w:sz w:val="14"/>
                <w:szCs w:val="14"/>
                <w:b w:val="1"/>
                <w:bCs w:val="1"/>
                <w:color w:val="1478A3"/>
              </w:rPr>
              <w:t>Units of Stock That Have</w:t>
            </w:r>
          </w:p>
        </w:tc>
        <w:tc>
          <w:tcPr>
            <w:tcW w:w="1900" w:type="dxa"/>
            <w:vAlign w:val="bottom"/>
            <w:shd w:val="clear" w:color="auto" w:fill="E3EAEE"/>
          </w:tcPr>
          <w:p>
            <w:pPr>
              <w:jc w:val="right"/>
              <w:spacing w:after="0" w:line="164" w:lineRule="exact"/>
              <w:rPr>
                <w:sz w:val="20"/>
                <w:szCs w:val="20"/>
                <w:color w:val="auto"/>
              </w:rPr>
            </w:pPr>
            <w:r>
              <w:rPr>
                <w:rFonts w:ascii="Arial" w:cs="Arial" w:eastAsia="Arial" w:hAnsi="Arial"/>
                <w:sz w:val="14"/>
                <w:szCs w:val="14"/>
                <w:b w:val="1"/>
                <w:bCs w:val="1"/>
                <w:color w:val="1478A3"/>
              </w:rPr>
              <w:t>That Have Not Vested</w:t>
            </w:r>
            <w:r>
              <w:rPr>
                <w:rFonts w:ascii="Arial" w:cs="Arial" w:eastAsia="Arial" w:hAnsi="Arial"/>
                <w:sz w:val="18"/>
                <w:szCs w:val="18"/>
                <w:b w:val="1"/>
                <w:bCs w:val="1"/>
                <w:color w:val="1478A3"/>
                <w:vertAlign w:val="superscript"/>
              </w:rPr>
              <w:t>(2)</w:t>
            </w:r>
          </w:p>
        </w:tc>
        <w:tc>
          <w:tcPr>
            <w:tcW w:w="0" w:type="dxa"/>
            <w:vAlign w:val="bottom"/>
          </w:tcPr>
          <w:p>
            <w:pPr>
              <w:spacing w:after="0"/>
              <w:rPr>
                <w:sz w:val="1"/>
                <w:szCs w:val="1"/>
                <w:color w:val="auto"/>
              </w:rPr>
            </w:pPr>
          </w:p>
        </w:tc>
      </w:tr>
      <w:tr>
        <w:trPr>
          <w:trHeight w:val="212"/>
        </w:trPr>
        <w:tc>
          <w:tcPr>
            <w:tcW w:w="1080" w:type="dxa"/>
            <w:vAlign w:val="bottom"/>
            <w:tcBorders>
              <w:bottom w:val="single" w:sz="8" w:color="1478A3"/>
            </w:tcBorders>
            <w:shd w:val="clear" w:color="auto" w:fill="E3EAEE"/>
          </w:tcPr>
          <w:p>
            <w:pPr>
              <w:ind w:left="20"/>
              <w:spacing w:after="0"/>
              <w:rPr>
                <w:sz w:val="20"/>
                <w:szCs w:val="20"/>
                <w:color w:val="auto"/>
              </w:rPr>
            </w:pPr>
            <w:r>
              <w:rPr>
                <w:rFonts w:ascii="Arial" w:cs="Arial" w:eastAsia="Arial" w:hAnsi="Arial"/>
                <w:sz w:val="14"/>
                <w:szCs w:val="14"/>
                <w:b w:val="1"/>
                <w:bCs w:val="1"/>
                <w:color w:val="1478A3"/>
              </w:rPr>
              <w:t>Name</w:t>
            </w:r>
          </w:p>
        </w:tc>
        <w:tc>
          <w:tcPr>
            <w:tcW w:w="260" w:type="dxa"/>
            <w:vAlign w:val="bottom"/>
            <w:tcBorders>
              <w:bottom w:val="single" w:sz="8" w:color="1478A3"/>
            </w:tcBorders>
            <w:shd w:val="clear" w:color="auto" w:fill="E3EAEE"/>
          </w:tcPr>
          <w:p>
            <w:pPr>
              <w:spacing w:after="0"/>
              <w:rPr>
                <w:sz w:val="18"/>
                <w:szCs w:val="18"/>
                <w:color w:val="auto"/>
              </w:rPr>
            </w:pPr>
          </w:p>
        </w:tc>
        <w:tc>
          <w:tcPr>
            <w:tcW w:w="1080" w:type="dxa"/>
            <w:vAlign w:val="bottom"/>
            <w:tcBorders>
              <w:bottom w:val="single" w:sz="8" w:color="1478A3"/>
            </w:tcBorders>
            <w:shd w:val="clear" w:color="auto" w:fill="E3EAEE"/>
          </w:tcPr>
          <w:p>
            <w:pPr>
              <w:ind w:left="180"/>
              <w:spacing w:after="0"/>
              <w:rPr>
                <w:sz w:val="20"/>
                <w:szCs w:val="20"/>
                <w:color w:val="auto"/>
              </w:rPr>
            </w:pPr>
            <w:r>
              <w:rPr>
                <w:rFonts w:ascii="Arial" w:cs="Arial" w:eastAsia="Arial" w:hAnsi="Arial"/>
                <w:sz w:val="14"/>
                <w:szCs w:val="14"/>
                <w:b w:val="1"/>
                <w:bCs w:val="1"/>
                <w:color w:val="1478A3"/>
              </w:rPr>
              <w:t>Grant Date</w:t>
            </w:r>
          </w:p>
        </w:tc>
        <w:tc>
          <w:tcPr>
            <w:tcW w:w="320" w:type="dxa"/>
            <w:vAlign w:val="bottom"/>
            <w:tcBorders>
              <w:bottom w:val="single" w:sz="8" w:color="1478A3"/>
            </w:tcBorders>
            <w:shd w:val="clear" w:color="auto" w:fill="E3EAEE"/>
          </w:tcPr>
          <w:p>
            <w:pPr>
              <w:spacing w:after="0"/>
              <w:rPr>
                <w:sz w:val="18"/>
                <w:szCs w:val="18"/>
                <w:color w:val="auto"/>
              </w:rPr>
            </w:pPr>
          </w:p>
        </w:tc>
        <w:tc>
          <w:tcPr>
            <w:tcW w:w="1940" w:type="dxa"/>
            <w:vAlign w:val="bottom"/>
            <w:tcBorders>
              <w:bottom w:val="single" w:sz="8" w:color="1478A3"/>
            </w:tcBorders>
            <w:shd w:val="clear" w:color="auto" w:fill="E3EAEE"/>
          </w:tcPr>
          <w:p>
            <w:pPr>
              <w:jc w:val="center"/>
              <w:ind w:right="103"/>
              <w:spacing w:after="0"/>
              <w:rPr>
                <w:sz w:val="20"/>
                <w:szCs w:val="20"/>
                <w:color w:val="auto"/>
              </w:rPr>
            </w:pPr>
            <w:r>
              <w:rPr>
                <w:rFonts w:ascii="Arial" w:cs="Arial" w:eastAsia="Arial" w:hAnsi="Arial"/>
                <w:sz w:val="14"/>
                <w:szCs w:val="14"/>
                <w:b w:val="1"/>
                <w:bCs w:val="1"/>
                <w:color w:val="1478A3"/>
                <w:w w:val="99"/>
              </w:rPr>
              <w:t>Have Not Vested</w:t>
            </w:r>
            <w:r>
              <w:rPr>
                <w:rFonts w:ascii="Arial" w:cs="Arial" w:eastAsia="Arial" w:hAnsi="Arial"/>
                <w:sz w:val="18"/>
                <w:szCs w:val="18"/>
                <w:b w:val="1"/>
                <w:bCs w:val="1"/>
                <w:color w:val="1478A3"/>
                <w:w w:val="99"/>
                <w:vertAlign w:val="superscript"/>
              </w:rPr>
              <w:t>(1)</w:t>
            </w:r>
          </w:p>
        </w:tc>
        <w:tc>
          <w:tcPr>
            <w:tcW w:w="2020" w:type="dxa"/>
            <w:vAlign w:val="bottom"/>
            <w:tcBorders>
              <w:bottom w:val="single" w:sz="8" w:color="1478A3"/>
            </w:tcBorders>
            <w:shd w:val="clear" w:color="auto" w:fill="E3EAEE"/>
          </w:tcPr>
          <w:p>
            <w:pPr>
              <w:jc w:val="right"/>
              <w:ind w:right="102"/>
              <w:spacing w:after="0"/>
              <w:rPr>
                <w:sz w:val="20"/>
                <w:szCs w:val="20"/>
                <w:color w:val="auto"/>
              </w:rPr>
            </w:pPr>
            <w:r>
              <w:rPr>
                <w:rFonts w:ascii="Arial" w:cs="Arial" w:eastAsia="Arial" w:hAnsi="Arial"/>
                <w:sz w:val="14"/>
                <w:szCs w:val="14"/>
                <w:b w:val="1"/>
                <w:bCs w:val="1"/>
                <w:color w:val="1478A3"/>
              </w:rPr>
              <w:t>($)</w:t>
            </w:r>
          </w:p>
        </w:tc>
        <w:tc>
          <w:tcPr>
            <w:tcW w:w="2080" w:type="dxa"/>
            <w:vAlign w:val="bottom"/>
            <w:tcBorders>
              <w:bottom w:val="single" w:sz="8" w:color="1478A3"/>
            </w:tcBorders>
            <w:shd w:val="clear" w:color="auto" w:fill="E3EAEE"/>
          </w:tcPr>
          <w:p>
            <w:pPr>
              <w:jc w:val="right"/>
              <w:ind w:right="122"/>
              <w:spacing w:after="0"/>
              <w:rPr>
                <w:sz w:val="20"/>
                <w:szCs w:val="20"/>
                <w:color w:val="auto"/>
              </w:rPr>
            </w:pPr>
            <w:r>
              <w:rPr>
                <w:rFonts w:ascii="Arial" w:cs="Arial" w:eastAsia="Arial" w:hAnsi="Arial"/>
                <w:sz w:val="14"/>
                <w:szCs w:val="14"/>
                <w:b w:val="1"/>
                <w:bCs w:val="1"/>
                <w:color w:val="1478A3"/>
              </w:rPr>
              <w:t>Not Vested</w:t>
            </w:r>
            <w:r>
              <w:rPr>
                <w:rFonts w:ascii="Arial" w:cs="Arial" w:eastAsia="Arial" w:hAnsi="Arial"/>
                <w:sz w:val="18"/>
                <w:szCs w:val="18"/>
                <w:b w:val="1"/>
                <w:bCs w:val="1"/>
                <w:color w:val="1478A3"/>
                <w:vertAlign w:val="superscript"/>
              </w:rPr>
              <w:t>(1)(3)</w:t>
            </w:r>
          </w:p>
        </w:tc>
        <w:tc>
          <w:tcPr>
            <w:tcW w:w="1900" w:type="dxa"/>
            <w:vAlign w:val="bottom"/>
            <w:tcBorders>
              <w:bottom w:val="single" w:sz="8" w:color="1478A3"/>
            </w:tcBorders>
            <w:shd w:val="clear" w:color="auto" w:fill="E3EAEE"/>
          </w:tcPr>
          <w:p>
            <w:pPr>
              <w:jc w:val="right"/>
              <w:spacing w:after="0"/>
              <w:rPr>
                <w:sz w:val="20"/>
                <w:szCs w:val="20"/>
                <w:color w:val="auto"/>
              </w:rPr>
            </w:pPr>
            <w:r>
              <w:rPr>
                <w:rFonts w:ascii="Arial" w:cs="Arial" w:eastAsia="Arial" w:hAnsi="Arial"/>
                <w:sz w:val="14"/>
                <w:szCs w:val="14"/>
                <w:b w:val="1"/>
                <w:bCs w:val="1"/>
                <w:color w:val="1478A3"/>
              </w:rPr>
              <w:t>($)</w:t>
            </w:r>
          </w:p>
        </w:tc>
        <w:tc>
          <w:tcPr>
            <w:tcW w:w="0" w:type="dxa"/>
            <w:vAlign w:val="bottom"/>
          </w:tcPr>
          <w:p>
            <w:pPr>
              <w:spacing w:after="0"/>
              <w:rPr>
                <w:sz w:val="1"/>
                <w:szCs w:val="1"/>
                <w:color w:val="auto"/>
              </w:rPr>
            </w:pPr>
          </w:p>
        </w:tc>
      </w:tr>
      <w:tr>
        <w:trPr>
          <w:trHeight w:val="302"/>
        </w:trPr>
        <w:tc>
          <w:tcPr>
            <w:tcW w:w="1080" w:type="dxa"/>
            <w:vAlign w:val="bottom"/>
            <w:vMerge w:val="restart"/>
          </w:tcPr>
          <w:p>
            <w:pPr>
              <w:ind w:left="140"/>
              <w:spacing w:after="0"/>
              <w:rPr>
                <w:sz w:val="20"/>
                <w:szCs w:val="20"/>
                <w:color w:val="auto"/>
              </w:rPr>
            </w:pPr>
            <w:r>
              <w:rPr>
                <w:rFonts w:ascii="Arial" w:cs="Arial" w:eastAsia="Arial" w:hAnsi="Arial"/>
                <w:sz w:val="16"/>
                <w:szCs w:val="16"/>
                <w:b w:val="1"/>
                <w:bCs w:val="1"/>
                <w:color w:val="3E474E"/>
              </w:rPr>
              <w:t>Shawn J.</w:t>
            </w:r>
          </w:p>
        </w:tc>
        <w:tc>
          <w:tcPr>
            <w:tcW w:w="1340" w:type="dxa"/>
            <w:vAlign w:val="bottom"/>
            <w:gridSpan w:val="2"/>
          </w:tcPr>
          <w:p>
            <w:pPr>
              <w:jc w:val="center"/>
              <w:ind w:left="179"/>
              <w:spacing w:after="0"/>
              <w:rPr>
                <w:sz w:val="20"/>
                <w:szCs w:val="20"/>
                <w:color w:val="auto"/>
              </w:rPr>
            </w:pPr>
            <w:r>
              <w:rPr>
                <w:rFonts w:ascii="Arial" w:cs="Arial" w:eastAsia="Arial" w:hAnsi="Arial"/>
                <w:sz w:val="16"/>
                <w:szCs w:val="16"/>
                <w:color w:val="3E474E"/>
              </w:rPr>
              <w:t>6/20/2025</w:t>
            </w:r>
          </w:p>
        </w:tc>
        <w:tc>
          <w:tcPr>
            <w:tcW w:w="320" w:type="dxa"/>
            <w:vAlign w:val="bottom"/>
          </w:tcPr>
          <w:p>
            <w:pPr>
              <w:spacing w:after="0"/>
              <w:rPr>
                <w:sz w:val="24"/>
                <w:szCs w:val="24"/>
                <w:color w:val="auto"/>
              </w:rPr>
            </w:pPr>
          </w:p>
        </w:tc>
        <w:tc>
          <w:tcPr>
            <w:tcW w:w="1940" w:type="dxa"/>
            <w:vAlign w:val="bottom"/>
          </w:tcPr>
          <w:p>
            <w:pPr>
              <w:jc w:val="right"/>
              <w:ind w:right="203"/>
              <w:spacing w:after="0"/>
              <w:rPr>
                <w:sz w:val="20"/>
                <w:szCs w:val="20"/>
                <w:color w:val="auto"/>
              </w:rPr>
            </w:pPr>
            <w:r>
              <w:rPr>
                <w:rFonts w:ascii="Arial" w:cs="Arial" w:eastAsia="Arial" w:hAnsi="Arial"/>
                <w:sz w:val="16"/>
                <w:szCs w:val="16"/>
                <w:color w:val="3E474E"/>
              </w:rPr>
              <w:t>—</w:t>
            </w:r>
          </w:p>
        </w:tc>
        <w:tc>
          <w:tcPr>
            <w:tcW w:w="2020" w:type="dxa"/>
            <w:vAlign w:val="bottom"/>
          </w:tcPr>
          <w:p>
            <w:pPr>
              <w:jc w:val="right"/>
              <w:ind w:right="202"/>
              <w:spacing w:after="0"/>
              <w:rPr>
                <w:sz w:val="20"/>
                <w:szCs w:val="20"/>
                <w:color w:val="auto"/>
              </w:rPr>
            </w:pPr>
            <w:r>
              <w:rPr>
                <w:rFonts w:ascii="Arial" w:cs="Arial" w:eastAsia="Arial" w:hAnsi="Arial"/>
                <w:sz w:val="16"/>
                <w:szCs w:val="16"/>
                <w:color w:val="3E474E"/>
              </w:rPr>
              <w:t>—</w:t>
            </w:r>
          </w:p>
        </w:tc>
        <w:tc>
          <w:tcPr>
            <w:tcW w:w="2080" w:type="dxa"/>
            <w:vAlign w:val="bottom"/>
          </w:tcPr>
          <w:p>
            <w:pPr>
              <w:jc w:val="right"/>
              <w:ind w:right="222"/>
              <w:spacing w:after="0"/>
              <w:rPr>
                <w:sz w:val="20"/>
                <w:szCs w:val="20"/>
                <w:color w:val="auto"/>
              </w:rPr>
            </w:pPr>
            <w:r>
              <w:rPr>
                <w:rFonts w:ascii="Arial" w:cs="Arial" w:eastAsia="Arial" w:hAnsi="Arial"/>
                <w:sz w:val="16"/>
                <w:szCs w:val="16"/>
                <w:color w:val="3E474E"/>
              </w:rPr>
              <w:t>379,556</w:t>
            </w:r>
          </w:p>
        </w:tc>
        <w:tc>
          <w:tcPr>
            <w:tcW w:w="1900" w:type="dxa"/>
            <w:vAlign w:val="bottom"/>
          </w:tcPr>
          <w:p>
            <w:pPr>
              <w:jc w:val="right"/>
              <w:ind w:right="63"/>
              <w:spacing w:after="0"/>
              <w:rPr>
                <w:sz w:val="20"/>
                <w:szCs w:val="20"/>
                <w:color w:val="auto"/>
              </w:rPr>
            </w:pPr>
            <w:r>
              <w:rPr>
                <w:rFonts w:ascii="Arial" w:cs="Arial" w:eastAsia="Arial" w:hAnsi="Arial"/>
                <w:sz w:val="16"/>
                <w:szCs w:val="16"/>
                <w:color w:val="3E474E"/>
              </w:rPr>
              <w:t>2,512,661</w:t>
            </w:r>
          </w:p>
        </w:tc>
        <w:tc>
          <w:tcPr>
            <w:tcW w:w="0" w:type="dxa"/>
            <w:vAlign w:val="bottom"/>
          </w:tcPr>
          <w:p>
            <w:pPr>
              <w:spacing w:after="0"/>
              <w:rPr>
                <w:sz w:val="1"/>
                <w:szCs w:val="1"/>
                <w:color w:val="auto"/>
              </w:rPr>
            </w:pPr>
          </w:p>
        </w:tc>
      </w:tr>
      <w:tr>
        <w:trPr>
          <w:trHeight w:val="123"/>
        </w:trPr>
        <w:tc>
          <w:tcPr>
            <w:tcW w:w="10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Arial" w:cs="Arial" w:eastAsia="Arial" w:hAnsi="Arial"/>
                <w:sz w:val="16"/>
                <w:szCs w:val="16"/>
                <w:b w:val="1"/>
                <w:bCs w:val="1"/>
                <w:color w:val="3E474E"/>
              </w:rPr>
              <w:t>Tibbetts</w:t>
            </w:r>
          </w:p>
        </w:tc>
        <w:tc>
          <w:tcPr>
            <w:tcW w:w="1340" w:type="dxa"/>
            <w:vAlign w:val="bottom"/>
            <w:gridSpan w:val="2"/>
            <w:vMerge w:val="restart"/>
          </w:tcPr>
          <w:p>
            <w:pPr>
              <w:jc w:val="center"/>
              <w:ind w:left="179"/>
              <w:spacing w:after="0"/>
              <w:rPr>
                <w:sz w:val="20"/>
                <w:szCs w:val="20"/>
                <w:color w:val="auto"/>
              </w:rPr>
            </w:pPr>
            <w:r>
              <w:rPr>
                <w:rFonts w:ascii="Arial" w:cs="Arial" w:eastAsia="Arial" w:hAnsi="Arial"/>
                <w:sz w:val="16"/>
                <w:szCs w:val="16"/>
                <w:color w:val="3E474E"/>
              </w:rPr>
              <w:t>3/3/2025</w:t>
            </w:r>
          </w:p>
        </w:tc>
        <w:tc>
          <w:tcPr>
            <w:tcW w:w="2260" w:type="dxa"/>
            <w:vAlign w:val="bottom"/>
            <w:gridSpan w:val="2"/>
            <w:vMerge w:val="restart"/>
          </w:tcPr>
          <w:p>
            <w:pPr>
              <w:jc w:val="right"/>
              <w:ind w:right="203"/>
              <w:spacing w:after="0"/>
              <w:rPr>
                <w:sz w:val="20"/>
                <w:szCs w:val="20"/>
                <w:color w:val="auto"/>
              </w:rPr>
            </w:pPr>
            <w:r>
              <w:rPr>
                <w:rFonts w:ascii="Arial" w:cs="Arial" w:eastAsia="Arial" w:hAnsi="Arial"/>
                <w:sz w:val="16"/>
                <w:szCs w:val="16"/>
                <w:color w:val="3E474E"/>
              </w:rPr>
              <w:t>160,341</w:t>
            </w:r>
          </w:p>
        </w:tc>
        <w:tc>
          <w:tcPr>
            <w:tcW w:w="2020" w:type="dxa"/>
            <w:vAlign w:val="bottom"/>
            <w:vMerge w:val="restart"/>
          </w:tcPr>
          <w:p>
            <w:pPr>
              <w:jc w:val="right"/>
              <w:ind w:right="202"/>
              <w:spacing w:after="0"/>
              <w:rPr>
                <w:sz w:val="20"/>
                <w:szCs w:val="20"/>
                <w:color w:val="auto"/>
              </w:rPr>
            </w:pPr>
            <w:r>
              <w:rPr>
                <w:rFonts w:ascii="Arial" w:cs="Arial" w:eastAsia="Arial" w:hAnsi="Arial"/>
                <w:sz w:val="16"/>
                <w:szCs w:val="16"/>
                <w:color w:val="3E474E"/>
              </w:rPr>
              <w:t>1,061,457</w:t>
            </w:r>
          </w:p>
        </w:tc>
        <w:tc>
          <w:tcPr>
            <w:tcW w:w="2080" w:type="dxa"/>
            <w:vAlign w:val="bottom"/>
            <w:vMerge w:val="restart"/>
          </w:tcPr>
          <w:p>
            <w:pPr>
              <w:jc w:val="right"/>
              <w:ind w:right="222"/>
              <w:spacing w:after="0"/>
              <w:rPr>
                <w:sz w:val="20"/>
                <w:szCs w:val="20"/>
                <w:color w:val="auto"/>
              </w:rPr>
            </w:pPr>
            <w:r>
              <w:rPr>
                <w:rFonts w:ascii="Arial" w:cs="Arial" w:eastAsia="Arial" w:hAnsi="Arial"/>
                <w:sz w:val="16"/>
                <w:szCs w:val="16"/>
                <w:color w:val="3E474E"/>
              </w:rPr>
              <w:t>41,254</w:t>
            </w:r>
          </w:p>
        </w:tc>
        <w:tc>
          <w:tcPr>
            <w:tcW w:w="1900" w:type="dxa"/>
            <w:vAlign w:val="bottom"/>
            <w:vMerge w:val="restart"/>
          </w:tcPr>
          <w:p>
            <w:pPr>
              <w:jc w:val="right"/>
              <w:ind w:right="63"/>
              <w:spacing w:after="0"/>
              <w:rPr>
                <w:sz w:val="20"/>
                <w:szCs w:val="20"/>
                <w:color w:val="auto"/>
              </w:rPr>
            </w:pPr>
            <w:r>
              <w:rPr>
                <w:rFonts w:ascii="Arial" w:cs="Arial" w:eastAsia="Arial" w:hAnsi="Arial"/>
                <w:sz w:val="16"/>
                <w:szCs w:val="16"/>
                <w:color w:val="3E474E"/>
              </w:rPr>
              <w:t>273,101</w:t>
            </w:r>
          </w:p>
        </w:tc>
        <w:tc>
          <w:tcPr>
            <w:tcW w:w="0" w:type="dxa"/>
            <w:vAlign w:val="bottom"/>
          </w:tcPr>
          <w:p>
            <w:pPr>
              <w:spacing w:after="0"/>
              <w:rPr>
                <w:sz w:val="1"/>
                <w:szCs w:val="1"/>
                <w:color w:val="auto"/>
              </w:rPr>
            </w:pPr>
          </w:p>
        </w:tc>
      </w:tr>
      <w:tr>
        <w:trPr>
          <w:trHeight w:val="86"/>
        </w:trPr>
        <w:tc>
          <w:tcPr>
            <w:tcW w:w="1080" w:type="dxa"/>
            <w:vAlign w:val="bottom"/>
            <w:vMerge w:val="restart"/>
          </w:tcPr>
          <w:p>
            <w:pPr>
              <w:ind w:left="140"/>
              <w:spacing w:after="0"/>
              <w:rPr>
                <w:sz w:val="20"/>
                <w:szCs w:val="20"/>
                <w:color w:val="auto"/>
              </w:rPr>
            </w:pPr>
            <w:r>
              <w:rPr>
                <w:rFonts w:ascii="Arial" w:cs="Arial" w:eastAsia="Arial" w:hAnsi="Arial"/>
                <w:sz w:val="16"/>
                <w:szCs w:val="16"/>
                <w:color w:val="3E474E"/>
              </w:rPr>
              <w:t>Chief</w:t>
            </w:r>
          </w:p>
        </w:tc>
        <w:tc>
          <w:tcPr>
            <w:tcW w:w="1340" w:type="dxa"/>
            <w:vAlign w:val="bottom"/>
            <w:gridSpan w:val="2"/>
            <w:vMerge w:val="continue"/>
          </w:tcPr>
          <w:p>
            <w:pPr>
              <w:spacing w:after="0"/>
              <w:rPr>
                <w:sz w:val="7"/>
                <w:szCs w:val="7"/>
                <w:color w:val="auto"/>
              </w:rPr>
            </w:pPr>
          </w:p>
        </w:tc>
        <w:tc>
          <w:tcPr>
            <w:tcW w:w="2260" w:type="dxa"/>
            <w:vAlign w:val="bottom"/>
            <w:gridSpan w:val="2"/>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140"/>
              <w:spacing w:after="0"/>
              <w:rPr>
                <w:sz w:val="20"/>
                <w:szCs w:val="20"/>
                <w:color w:val="auto"/>
              </w:rPr>
            </w:pPr>
            <w:r>
              <w:rPr>
                <w:rFonts w:ascii="Arial" w:cs="Arial" w:eastAsia="Arial" w:hAnsi="Arial"/>
                <w:sz w:val="16"/>
                <w:szCs w:val="16"/>
                <w:color w:val="3E474E"/>
              </w:rPr>
              <w:t>Executive</w:t>
            </w:r>
          </w:p>
        </w:tc>
        <w:tc>
          <w:tcPr>
            <w:tcW w:w="1340" w:type="dxa"/>
            <w:vAlign w:val="bottom"/>
            <w:gridSpan w:val="2"/>
            <w:vMerge w:val="restart"/>
          </w:tcPr>
          <w:p>
            <w:pPr>
              <w:jc w:val="center"/>
              <w:ind w:left="179"/>
              <w:spacing w:after="0"/>
              <w:rPr>
                <w:sz w:val="20"/>
                <w:szCs w:val="20"/>
                <w:color w:val="auto"/>
              </w:rPr>
            </w:pPr>
            <w:r>
              <w:rPr>
                <w:rFonts w:ascii="Arial" w:cs="Arial" w:eastAsia="Arial" w:hAnsi="Arial"/>
                <w:sz w:val="16"/>
                <w:szCs w:val="16"/>
                <w:color w:val="3E474E"/>
              </w:rPr>
              <w:t>3/11/2024</w:t>
            </w:r>
          </w:p>
        </w:tc>
        <w:tc>
          <w:tcPr>
            <w:tcW w:w="2260" w:type="dxa"/>
            <w:vAlign w:val="bottom"/>
            <w:gridSpan w:val="2"/>
            <w:vMerge w:val="restart"/>
          </w:tcPr>
          <w:p>
            <w:pPr>
              <w:jc w:val="right"/>
              <w:ind w:right="203"/>
              <w:spacing w:after="0"/>
              <w:rPr>
                <w:sz w:val="20"/>
                <w:szCs w:val="20"/>
                <w:color w:val="auto"/>
              </w:rPr>
            </w:pPr>
            <w:r>
              <w:rPr>
                <w:rFonts w:ascii="Arial" w:cs="Arial" w:eastAsia="Arial" w:hAnsi="Arial"/>
                <w:sz w:val="16"/>
                <w:szCs w:val="16"/>
                <w:color w:val="3E474E"/>
              </w:rPr>
              <w:t>27,540</w:t>
            </w:r>
          </w:p>
        </w:tc>
        <w:tc>
          <w:tcPr>
            <w:tcW w:w="2020" w:type="dxa"/>
            <w:vAlign w:val="bottom"/>
            <w:vMerge w:val="restart"/>
          </w:tcPr>
          <w:p>
            <w:pPr>
              <w:jc w:val="right"/>
              <w:ind w:right="202"/>
              <w:spacing w:after="0"/>
              <w:rPr>
                <w:sz w:val="20"/>
                <w:szCs w:val="20"/>
                <w:color w:val="auto"/>
              </w:rPr>
            </w:pPr>
            <w:r>
              <w:rPr>
                <w:rFonts w:ascii="Arial" w:cs="Arial" w:eastAsia="Arial" w:hAnsi="Arial"/>
                <w:sz w:val="16"/>
                <w:szCs w:val="16"/>
                <w:color w:val="3E474E"/>
              </w:rPr>
              <w:t>182,315</w:t>
            </w:r>
          </w:p>
        </w:tc>
        <w:tc>
          <w:tcPr>
            <w:tcW w:w="2080" w:type="dxa"/>
            <w:vAlign w:val="bottom"/>
            <w:vMerge w:val="restart"/>
          </w:tcPr>
          <w:p>
            <w:pPr>
              <w:jc w:val="right"/>
              <w:ind w:right="222"/>
              <w:spacing w:after="0"/>
              <w:rPr>
                <w:sz w:val="20"/>
                <w:szCs w:val="20"/>
                <w:color w:val="auto"/>
              </w:rPr>
            </w:pPr>
            <w:r>
              <w:rPr>
                <w:rFonts w:ascii="Arial" w:cs="Arial" w:eastAsia="Arial" w:hAnsi="Arial"/>
                <w:sz w:val="16"/>
                <w:szCs w:val="16"/>
                <w:color w:val="3E474E"/>
              </w:rPr>
              <w:t>—</w:t>
            </w:r>
          </w:p>
        </w:tc>
        <w:tc>
          <w:tcPr>
            <w:tcW w:w="1900" w:type="dxa"/>
            <w:vAlign w:val="bottom"/>
            <w:vMerge w:val="restart"/>
          </w:tcPr>
          <w:p>
            <w:pPr>
              <w:jc w:val="right"/>
              <w:ind w:right="63"/>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107"/>
        </w:trPr>
        <w:tc>
          <w:tcPr>
            <w:tcW w:w="1080" w:type="dxa"/>
            <w:vAlign w:val="bottom"/>
            <w:vMerge w:val="restart"/>
          </w:tcPr>
          <w:p>
            <w:pPr>
              <w:ind w:left="140"/>
              <w:spacing w:after="0"/>
              <w:rPr>
                <w:sz w:val="20"/>
                <w:szCs w:val="20"/>
                <w:color w:val="auto"/>
              </w:rPr>
            </w:pPr>
            <w:r>
              <w:rPr>
                <w:rFonts w:ascii="Arial" w:cs="Arial" w:eastAsia="Arial" w:hAnsi="Arial"/>
                <w:sz w:val="16"/>
                <w:szCs w:val="16"/>
                <w:color w:val="3E474E"/>
              </w:rPr>
              <w:t>Officer and</w:t>
            </w:r>
          </w:p>
        </w:tc>
        <w:tc>
          <w:tcPr>
            <w:tcW w:w="1340" w:type="dxa"/>
            <w:vAlign w:val="bottom"/>
            <w:gridSpan w:val="2"/>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080" w:type="dxa"/>
            <w:vAlign w:val="bottom"/>
          </w:tcPr>
          <w:p>
            <w:pPr>
              <w:ind w:left="140"/>
              <w:spacing w:after="0"/>
              <w:rPr>
                <w:sz w:val="20"/>
                <w:szCs w:val="20"/>
                <w:color w:val="auto"/>
              </w:rPr>
            </w:pPr>
            <w:r>
              <w:rPr>
                <w:rFonts w:ascii="Arial" w:cs="Arial" w:eastAsia="Arial" w:hAnsi="Arial"/>
                <w:sz w:val="16"/>
                <w:szCs w:val="16"/>
                <w:color w:val="3E474E"/>
              </w:rPr>
              <w:t>President</w:t>
            </w:r>
          </w:p>
        </w:tc>
        <w:tc>
          <w:tcPr>
            <w:tcW w:w="1340" w:type="dxa"/>
            <w:vAlign w:val="bottom"/>
            <w:gridSpan w:val="2"/>
            <w:vMerge w:val="restart"/>
          </w:tcPr>
          <w:p>
            <w:pPr>
              <w:jc w:val="center"/>
              <w:ind w:left="179"/>
              <w:spacing w:after="0"/>
              <w:rPr>
                <w:sz w:val="20"/>
                <w:szCs w:val="20"/>
                <w:color w:val="auto"/>
              </w:rPr>
            </w:pPr>
            <w:r>
              <w:rPr>
                <w:rFonts w:ascii="Arial" w:cs="Arial" w:eastAsia="Arial" w:hAnsi="Arial"/>
                <w:sz w:val="16"/>
                <w:szCs w:val="16"/>
                <w:color w:val="3E474E"/>
              </w:rPr>
              <w:t>3/3/2023</w:t>
            </w:r>
          </w:p>
        </w:tc>
        <w:tc>
          <w:tcPr>
            <w:tcW w:w="2260" w:type="dxa"/>
            <w:vAlign w:val="bottom"/>
            <w:gridSpan w:val="2"/>
            <w:vMerge w:val="restart"/>
          </w:tcPr>
          <w:p>
            <w:pPr>
              <w:jc w:val="right"/>
              <w:ind w:right="203"/>
              <w:spacing w:after="0"/>
              <w:rPr>
                <w:sz w:val="20"/>
                <w:szCs w:val="20"/>
                <w:color w:val="auto"/>
              </w:rPr>
            </w:pPr>
            <w:r>
              <w:rPr>
                <w:rFonts w:ascii="Arial" w:cs="Arial" w:eastAsia="Arial" w:hAnsi="Arial"/>
                <w:sz w:val="16"/>
                <w:szCs w:val="16"/>
                <w:color w:val="3E474E"/>
              </w:rPr>
              <w:t>8,392</w:t>
            </w:r>
          </w:p>
        </w:tc>
        <w:tc>
          <w:tcPr>
            <w:tcW w:w="2020" w:type="dxa"/>
            <w:vAlign w:val="bottom"/>
            <w:vMerge w:val="restart"/>
          </w:tcPr>
          <w:p>
            <w:pPr>
              <w:jc w:val="right"/>
              <w:ind w:right="202"/>
              <w:spacing w:after="0"/>
              <w:rPr>
                <w:sz w:val="20"/>
                <w:szCs w:val="20"/>
                <w:color w:val="auto"/>
              </w:rPr>
            </w:pPr>
            <w:r>
              <w:rPr>
                <w:rFonts w:ascii="Arial" w:cs="Arial" w:eastAsia="Arial" w:hAnsi="Arial"/>
                <w:sz w:val="16"/>
                <w:szCs w:val="16"/>
                <w:color w:val="3E474E"/>
              </w:rPr>
              <w:t>55,555</w:t>
            </w:r>
          </w:p>
        </w:tc>
        <w:tc>
          <w:tcPr>
            <w:tcW w:w="2080" w:type="dxa"/>
            <w:vAlign w:val="bottom"/>
            <w:vMerge w:val="restart"/>
          </w:tcPr>
          <w:p>
            <w:pPr>
              <w:jc w:val="right"/>
              <w:ind w:right="222"/>
              <w:spacing w:after="0"/>
              <w:rPr>
                <w:sz w:val="20"/>
                <w:szCs w:val="20"/>
                <w:color w:val="auto"/>
              </w:rPr>
            </w:pPr>
            <w:r>
              <w:rPr>
                <w:rFonts w:ascii="Arial" w:cs="Arial" w:eastAsia="Arial" w:hAnsi="Arial"/>
                <w:sz w:val="16"/>
                <w:szCs w:val="16"/>
                <w:color w:val="3E474E"/>
              </w:rPr>
              <w:t>—</w:t>
            </w:r>
          </w:p>
        </w:tc>
        <w:tc>
          <w:tcPr>
            <w:tcW w:w="1900" w:type="dxa"/>
            <w:vAlign w:val="bottom"/>
            <w:vMerge w:val="restart"/>
          </w:tcPr>
          <w:p>
            <w:pPr>
              <w:jc w:val="right"/>
              <w:ind w:right="63"/>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208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080" w:type="dxa"/>
            <w:vAlign w:val="bottom"/>
            <w:vMerge w:val="restart"/>
            <w:shd w:val="clear" w:color="auto" w:fill="E3EAEE"/>
          </w:tcPr>
          <w:p>
            <w:pPr>
              <w:ind w:left="100"/>
              <w:spacing w:after="0"/>
              <w:rPr>
                <w:sz w:val="20"/>
                <w:szCs w:val="20"/>
                <w:color w:val="auto"/>
              </w:rPr>
            </w:pPr>
            <w:r>
              <w:rPr>
                <w:rFonts w:ascii="Arial" w:cs="Arial" w:eastAsia="Arial" w:hAnsi="Arial"/>
                <w:sz w:val="16"/>
                <w:szCs w:val="16"/>
                <w:b w:val="1"/>
                <w:bCs w:val="1"/>
                <w:color w:val="3E474E"/>
              </w:rPr>
              <w:t>Matthew T.</w:t>
            </w:r>
          </w:p>
        </w:tc>
        <w:tc>
          <w:tcPr>
            <w:tcW w:w="260" w:type="dxa"/>
            <w:vAlign w:val="bottom"/>
            <w:shd w:val="clear" w:color="auto" w:fill="E3EAEE"/>
          </w:tcPr>
          <w:p>
            <w:pPr>
              <w:spacing w:after="0"/>
              <w:rPr>
                <w:sz w:val="24"/>
                <w:szCs w:val="24"/>
                <w:color w:val="auto"/>
              </w:rPr>
            </w:pPr>
          </w:p>
        </w:tc>
        <w:tc>
          <w:tcPr>
            <w:tcW w:w="1080" w:type="dxa"/>
            <w:vAlign w:val="bottom"/>
            <w:shd w:val="clear" w:color="auto" w:fill="E3EAEE"/>
          </w:tcPr>
          <w:p>
            <w:pPr>
              <w:jc w:val="center"/>
              <w:spacing w:after="0"/>
              <w:rPr>
                <w:sz w:val="20"/>
                <w:szCs w:val="20"/>
                <w:color w:val="auto"/>
              </w:rPr>
            </w:pPr>
            <w:r>
              <w:rPr>
                <w:rFonts w:ascii="Arial" w:cs="Arial" w:eastAsia="Arial" w:hAnsi="Arial"/>
                <w:sz w:val="16"/>
                <w:szCs w:val="16"/>
                <w:color w:val="3E474E"/>
              </w:rPr>
              <w:t>6/20/2025</w:t>
            </w:r>
          </w:p>
        </w:tc>
        <w:tc>
          <w:tcPr>
            <w:tcW w:w="320" w:type="dxa"/>
            <w:vAlign w:val="bottom"/>
            <w:shd w:val="clear" w:color="auto" w:fill="E3EAEE"/>
          </w:tcPr>
          <w:p>
            <w:pPr>
              <w:spacing w:after="0"/>
              <w:rPr>
                <w:sz w:val="24"/>
                <w:szCs w:val="24"/>
                <w:color w:val="auto"/>
              </w:rPr>
            </w:pPr>
          </w:p>
        </w:tc>
        <w:tc>
          <w:tcPr>
            <w:tcW w:w="1940" w:type="dxa"/>
            <w:vAlign w:val="bottom"/>
            <w:shd w:val="clear" w:color="auto" w:fill="E3EAEE"/>
          </w:tcPr>
          <w:p>
            <w:pPr>
              <w:jc w:val="right"/>
              <w:ind w:right="203"/>
              <w:spacing w:after="0"/>
              <w:rPr>
                <w:sz w:val="20"/>
                <w:szCs w:val="20"/>
                <w:color w:val="auto"/>
              </w:rPr>
            </w:pPr>
            <w:r>
              <w:rPr>
                <w:rFonts w:ascii="Arial" w:cs="Arial" w:eastAsia="Arial" w:hAnsi="Arial"/>
                <w:sz w:val="16"/>
                <w:szCs w:val="16"/>
                <w:color w:val="3E474E"/>
              </w:rPr>
              <w:t>—</w:t>
            </w:r>
          </w:p>
        </w:tc>
        <w:tc>
          <w:tcPr>
            <w:tcW w:w="2020" w:type="dxa"/>
            <w:vAlign w:val="bottom"/>
            <w:shd w:val="clear" w:color="auto" w:fill="E3EAEE"/>
          </w:tcPr>
          <w:p>
            <w:pPr>
              <w:jc w:val="right"/>
              <w:ind w:right="142"/>
              <w:spacing w:after="0"/>
              <w:rPr>
                <w:sz w:val="20"/>
                <w:szCs w:val="20"/>
                <w:color w:val="auto"/>
              </w:rPr>
            </w:pPr>
            <w:r>
              <w:rPr>
                <w:rFonts w:ascii="Arial" w:cs="Arial" w:eastAsia="Arial" w:hAnsi="Arial"/>
                <w:sz w:val="16"/>
                <w:szCs w:val="16"/>
                <w:color w:val="3E474E"/>
              </w:rPr>
              <w:t>—</w:t>
            </w:r>
          </w:p>
        </w:tc>
        <w:tc>
          <w:tcPr>
            <w:tcW w:w="2080" w:type="dxa"/>
            <w:vAlign w:val="bottom"/>
            <w:shd w:val="clear" w:color="auto" w:fill="E3EAEE"/>
          </w:tcPr>
          <w:p>
            <w:pPr>
              <w:jc w:val="right"/>
              <w:ind w:right="162"/>
              <w:spacing w:after="0"/>
              <w:rPr>
                <w:sz w:val="20"/>
                <w:szCs w:val="20"/>
                <w:color w:val="auto"/>
              </w:rPr>
            </w:pPr>
            <w:r>
              <w:rPr>
                <w:rFonts w:ascii="Arial" w:cs="Arial" w:eastAsia="Arial" w:hAnsi="Arial"/>
                <w:sz w:val="16"/>
                <w:szCs w:val="16"/>
                <w:color w:val="3E474E"/>
              </w:rPr>
              <w:t>151,822</w:t>
            </w:r>
          </w:p>
        </w:tc>
        <w:tc>
          <w:tcPr>
            <w:tcW w:w="1900" w:type="dxa"/>
            <w:vAlign w:val="bottom"/>
            <w:shd w:val="clear" w:color="auto" w:fill="E3EAEE"/>
          </w:tcPr>
          <w:p>
            <w:pPr>
              <w:jc w:val="right"/>
              <w:ind w:right="3"/>
              <w:spacing w:after="0"/>
              <w:rPr>
                <w:sz w:val="20"/>
                <w:szCs w:val="20"/>
                <w:color w:val="auto"/>
              </w:rPr>
            </w:pPr>
            <w:r>
              <w:rPr>
                <w:rFonts w:ascii="Arial" w:cs="Arial" w:eastAsia="Arial" w:hAnsi="Arial"/>
                <w:sz w:val="16"/>
                <w:szCs w:val="16"/>
                <w:color w:val="3E474E"/>
              </w:rPr>
              <w:t>1,005,062</w:t>
            </w:r>
          </w:p>
        </w:tc>
        <w:tc>
          <w:tcPr>
            <w:tcW w:w="0" w:type="dxa"/>
            <w:vAlign w:val="bottom"/>
          </w:tcPr>
          <w:p>
            <w:pPr>
              <w:spacing w:after="0"/>
              <w:rPr>
                <w:sz w:val="1"/>
                <w:szCs w:val="1"/>
                <w:color w:val="auto"/>
              </w:rPr>
            </w:pPr>
          </w:p>
        </w:tc>
      </w:tr>
      <w:tr>
        <w:trPr>
          <w:trHeight w:val="69"/>
        </w:trPr>
        <w:tc>
          <w:tcPr>
            <w:tcW w:w="1080" w:type="dxa"/>
            <w:vAlign w:val="bottom"/>
            <w:vMerge w:val="continue"/>
            <w:shd w:val="clear" w:color="auto" w:fill="E3EAEE"/>
          </w:tcPr>
          <w:p>
            <w:pPr>
              <w:spacing w:after="0"/>
              <w:rPr>
                <w:sz w:val="5"/>
                <w:szCs w:val="5"/>
                <w:color w:val="auto"/>
              </w:rPr>
            </w:pPr>
          </w:p>
        </w:tc>
        <w:tc>
          <w:tcPr>
            <w:tcW w:w="260" w:type="dxa"/>
            <w:vAlign w:val="bottom"/>
            <w:shd w:val="clear" w:color="auto" w:fill="E3EAEE"/>
          </w:tcPr>
          <w:p>
            <w:pPr>
              <w:spacing w:after="0"/>
              <w:rPr>
                <w:sz w:val="5"/>
                <w:szCs w:val="5"/>
                <w:color w:val="auto"/>
              </w:rPr>
            </w:pPr>
          </w:p>
        </w:tc>
        <w:tc>
          <w:tcPr>
            <w:tcW w:w="1080" w:type="dxa"/>
            <w:vAlign w:val="bottom"/>
            <w:shd w:val="clear" w:color="auto" w:fill="E3EAEE"/>
          </w:tcPr>
          <w:p>
            <w:pPr>
              <w:spacing w:after="0"/>
              <w:rPr>
                <w:sz w:val="5"/>
                <w:szCs w:val="5"/>
                <w:color w:val="auto"/>
              </w:rPr>
            </w:pPr>
          </w:p>
        </w:tc>
        <w:tc>
          <w:tcPr>
            <w:tcW w:w="320" w:type="dxa"/>
            <w:vAlign w:val="bottom"/>
            <w:shd w:val="clear" w:color="auto" w:fill="E3EAEE"/>
          </w:tcPr>
          <w:p>
            <w:pPr>
              <w:spacing w:after="0"/>
              <w:rPr>
                <w:sz w:val="5"/>
                <w:szCs w:val="5"/>
                <w:color w:val="auto"/>
              </w:rPr>
            </w:pPr>
          </w:p>
        </w:tc>
        <w:tc>
          <w:tcPr>
            <w:tcW w:w="1940" w:type="dxa"/>
            <w:vAlign w:val="bottom"/>
            <w:shd w:val="clear" w:color="auto" w:fill="E3EAEE"/>
          </w:tcPr>
          <w:p>
            <w:pPr>
              <w:spacing w:after="0"/>
              <w:rPr>
                <w:sz w:val="5"/>
                <w:szCs w:val="5"/>
                <w:color w:val="auto"/>
              </w:rPr>
            </w:pPr>
          </w:p>
        </w:tc>
        <w:tc>
          <w:tcPr>
            <w:tcW w:w="2020" w:type="dxa"/>
            <w:vAlign w:val="bottom"/>
            <w:shd w:val="clear" w:color="auto" w:fill="E3EAEE"/>
          </w:tcPr>
          <w:p>
            <w:pPr>
              <w:spacing w:after="0"/>
              <w:rPr>
                <w:sz w:val="5"/>
                <w:szCs w:val="5"/>
                <w:color w:val="auto"/>
              </w:rPr>
            </w:pPr>
          </w:p>
        </w:tc>
        <w:tc>
          <w:tcPr>
            <w:tcW w:w="2080" w:type="dxa"/>
            <w:vAlign w:val="bottom"/>
            <w:shd w:val="clear" w:color="auto" w:fill="E3EAEE"/>
          </w:tcPr>
          <w:p>
            <w:pPr>
              <w:spacing w:after="0"/>
              <w:rPr>
                <w:sz w:val="5"/>
                <w:szCs w:val="5"/>
                <w:color w:val="auto"/>
              </w:rPr>
            </w:pPr>
          </w:p>
        </w:tc>
        <w:tc>
          <w:tcPr>
            <w:tcW w:w="1900" w:type="dxa"/>
            <w:vAlign w:val="bottom"/>
            <w:shd w:val="clear" w:color="auto" w:fill="E3EAE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E3EAEE"/>
          </w:tcPr>
          <w:p>
            <w:pPr>
              <w:ind w:left="100"/>
              <w:spacing w:after="0"/>
              <w:rPr>
                <w:sz w:val="20"/>
                <w:szCs w:val="20"/>
                <w:color w:val="auto"/>
              </w:rPr>
            </w:pPr>
            <w:r>
              <w:rPr>
                <w:rFonts w:ascii="Arial" w:cs="Arial" w:eastAsia="Arial" w:hAnsi="Arial"/>
                <w:sz w:val="16"/>
                <w:szCs w:val="16"/>
                <w:b w:val="1"/>
                <w:bCs w:val="1"/>
                <w:color w:val="3E474E"/>
              </w:rPr>
              <w:t>Barnes-</w:t>
            </w:r>
          </w:p>
        </w:tc>
        <w:tc>
          <w:tcPr>
            <w:tcW w:w="260" w:type="dxa"/>
            <w:vAlign w:val="bottom"/>
            <w:shd w:val="clear" w:color="auto" w:fill="E3EAEE"/>
          </w:tcPr>
          <w:p>
            <w:pPr>
              <w:spacing w:after="0"/>
              <w:rPr>
                <w:sz w:val="16"/>
                <w:szCs w:val="16"/>
                <w:color w:val="auto"/>
              </w:rPr>
            </w:pPr>
          </w:p>
        </w:tc>
        <w:tc>
          <w:tcPr>
            <w:tcW w:w="1080" w:type="dxa"/>
            <w:vAlign w:val="bottom"/>
            <w:vMerge w:val="restart"/>
            <w:shd w:val="clear" w:color="auto" w:fill="E3EAEE"/>
          </w:tcPr>
          <w:p>
            <w:pPr>
              <w:jc w:val="center"/>
              <w:spacing w:after="0"/>
              <w:rPr>
                <w:sz w:val="20"/>
                <w:szCs w:val="20"/>
                <w:color w:val="auto"/>
              </w:rPr>
            </w:pPr>
            <w:r>
              <w:rPr>
                <w:rFonts w:ascii="Arial" w:cs="Arial" w:eastAsia="Arial" w:hAnsi="Arial"/>
                <w:sz w:val="16"/>
                <w:szCs w:val="16"/>
                <w:color w:val="3E474E"/>
              </w:rPr>
              <w:t>3/3/2025</w:t>
            </w:r>
          </w:p>
        </w:tc>
        <w:tc>
          <w:tcPr>
            <w:tcW w:w="2260" w:type="dxa"/>
            <w:vAlign w:val="bottom"/>
            <w:gridSpan w:val="2"/>
            <w:vMerge w:val="restart"/>
            <w:shd w:val="clear" w:color="auto" w:fill="E3EAEE"/>
          </w:tcPr>
          <w:p>
            <w:pPr>
              <w:jc w:val="right"/>
              <w:ind w:right="203"/>
              <w:spacing w:after="0"/>
              <w:rPr>
                <w:sz w:val="20"/>
                <w:szCs w:val="20"/>
                <w:color w:val="auto"/>
              </w:rPr>
            </w:pPr>
            <w:r>
              <w:rPr>
                <w:rFonts w:ascii="Arial" w:cs="Arial" w:eastAsia="Arial" w:hAnsi="Arial"/>
                <w:sz w:val="16"/>
                <w:szCs w:val="16"/>
                <w:color w:val="3E474E"/>
              </w:rPr>
              <w:t>64,714</w:t>
            </w:r>
          </w:p>
        </w:tc>
        <w:tc>
          <w:tcPr>
            <w:tcW w:w="2020" w:type="dxa"/>
            <w:vAlign w:val="bottom"/>
            <w:vMerge w:val="restart"/>
            <w:shd w:val="clear" w:color="auto" w:fill="E3EAEE"/>
          </w:tcPr>
          <w:p>
            <w:pPr>
              <w:jc w:val="right"/>
              <w:ind w:right="142"/>
              <w:spacing w:after="0"/>
              <w:rPr>
                <w:sz w:val="20"/>
                <w:szCs w:val="20"/>
                <w:color w:val="auto"/>
              </w:rPr>
            </w:pPr>
            <w:r>
              <w:rPr>
                <w:rFonts w:ascii="Arial" w:cs="Arial" w:eastAsia="Arial" w:hAnsi="Arial"/>
                <w:sz w:val="16"/>
                <w:szCs w:val="16"/>
                <w:color w:val="3E474E"/>
              </w:rPr>
              <w:t>428,407</w:t>
            </w:r>
          </w:p>
        </w:tc>
        <w:tc>
          <w:tcPr>
            <w:tcW w:w="2080" w:type="dxa"/>
            <w:vAlign w:val="bottom"/>
            <w:vMerge w:val="restart"/>
            <w:shd w:val="clear" w:color="auto" w:fill="E3EAEE"/>
          </w:tcPr>
          <w:p>
            <w:pPr>
              <w:jc w:val="right"/>
              <w:ind w:right="162"/>
              <w:spacing w:after="0"/>
              <w:rPr>
                <w:sz w:val="20"/>
                <w:szCs w:val="20"/>
                <w:color w:val="auto"/>
              </w:rPr>
            </w:pPr>
            <w:r>
              <w:rPr>
                <w:rFonts w:ascii="Arial" w:cs="Arial" w:eastAsia="Arial" w:hAnsi="Arial"/>
                <w:sz w:val="16"/>
                <w:szCs w:val="16"/>
                <w:color w:val="3E474E"/>
              </w:rPr>
              <w:t>16,502</w:t>
            </w:r>
          </w:p>
        </w:tc>
        <w:tc>
          <w:tcPr>
            <w:tcW w:w="1900" w:type="dxa"/>
            <w:vAlign w:val="bottom"/>
            <w:vMerge w:val="restart"/>
            <w:shd w:val="clear" w:color="auto" w:fill="E3EAEE"/>
          </w:tcPr>
          <w:p>
            <w:pPr>
              <w:jc w:val="right"/>
              <w:ind w:right="3"/>
              <w:spacing w:after="0"/>
              <w:rPr>
                <w:sz w:val="20"/>
                <w:szCs w:val="20"/>
                <w:color w:val="auto"/>
              </w:rPr>
            </w:pPr>
            <w:r>
              <w:rPr>
                <w:rFonts w:ascii="Arial" w:cs="Arial" w:eastAsia="Arial" w:hAnsi="Arial"/>
                <w:sz w:val="16"/>
                <w:szCs w:val="16"/>
                <w:color w:val="3E474E"/>
              </w:rPr>
              <w:t>109,243</w:t>
            </w:r>
          </w:p>
        </w:tc>
        <w:tc>
          <w:tcPr>
            <w:tcW w:w="0" w:type="dxa"/>
            <w:vAlign w:val="bottom"/>
          </w:tcPr>
          <w:p>
            <w:pPr>
              <w:spacing w:after="0"/>
              <w:rPr>
                <w:sz w:val="1"/>
                <w:szCs w:val="1"/>
                <w:color w:val="auto"/>
              </w:rPr>
            </w:pPr>
          </w:p>
        </w:tc>
      </w:tr>
      <w:tr>
        <w:trPr>
          <w:trHeight w:val="223"/>
        </w:trPr>
        <w:tc>
          <w:tcPr>
            <w:tcW w:w="1080" w:type="dxa"/>
            <w:vAlign w:val="bottom"/>
            <w:shd w:val="clear" w:color="auto" w:fill="E3EAEE"/>
          </w:tcPr>
          <w:p>
            <w:pPr>
              <w:ind w:left="100"/>
              <w:spacing w:after="0"/>
              <w:rPr>
                <w:sz w:val="20"/>
                <w:szCs w:val="20"/>
                <w:color w:val="auto"/>
              </w:rPr>
            </w:pPr>
            <w:r>
              <w:rPr>
                <w:rFonts w:ascii="Arial" w:cs="Arial" w:eastAsia="Arial" w:hAnsi="Arial"/>
                <w:sz w:val="16"/>
                <w:szCs w:val="16"/>
                <w:b w:val="1"/>
                <w:bCs w:val="1"/>
                <w:color w:val="3E474E"/>
              </w:rPr>
              <w:t>Smith</w:t>
            </w:r>
          </w:p>
        </w:tc>
        <w:tc>
          <w:tcPr>
            <w:tcW w:w="260" w:type="dxa"/>
            <w:vAlign w:val="bottom"/>
            <w:shd w:val="clear" w:color="auto" w:fill="E3EAEE"/>
          </w:tcPr>
          <w:p>
            <w:pPr>
              <w:spacing w:after="0"/>
              <w:rPr>
                <w:sz w:val="19"/>
                <w:szCs w:val="19"/>
                <w:color w:val="auto"/>
              </w:rPr>
            </w:pPr>
          </w:p>
        </w:tc>
        <w:tc>
          <w:tcPr>
            <w:tcW w:w="1080" w:type="dxa"/>
            <w:vAlign w:val="bottom"/>
            <w:vMerge w:val="continue"/>
            <w:shd w:val="clear" w:color="auto" w:fill="E3EAEE"/>
          </w:tcPr>
          <w:p>
            <w:pPr>
              <w:spacing w:after="0"/>
              <w:rPr>
                <w:sz w:val="19"/>
                <w:szCs w:val="19"/>
                <w:color w:val="auto"/>
              </w:rPr>
            </w:pPr>
          </w:p>
        </w:tc>
        <w:tc>
          <w:tcPr>
            <w:tcW w:w="2260" w:type="dxa"/>
            <w:vAlign w:val="bottom"/>
            <w:gridSpan w:val="2"/>
            <w:vMerge w:val="continue"/>
            <w:shd w:val="clear" w:color="auto" w:fill="E3EAEE"/>
          </w:tcPr>
          <w:p>
            <w:pPr>
              <w:spacing w:after="0"/>
              <w:rPr>
                <w:sz w:val="19"/>
                <w:szCs w:val="19"/>
                <w:color w:val="auto"/>
              </w:rPr>
            </w:pPr>
          </w:p>
        </w:tc>
        <w:tc>
          <w:tcPr>
            <w:tcW w:w="2020" w:type="dxa"/>
            <w:vAlign w:val="bottom"/>
            <w:vMerge w:val="continue"/>
            <w:shd w:val="clear" w:color="auto" w:fill="E3EAEE"/>
          </w:tcPr>
          <w:p>
            <w:pPr>
              <w:spacing w:after="0"/>
              <w:rPr>
                <w:sz w:val="19"/>
                <w:szCs w:val="19"/>
                <w:color w:val="auto"/>
              </w:rPr>
            </w:pPr>
          </w:p>
        </w:tc>
        <w:tc>
          <w:tcPr>
            <w:tcW w:w="2080" w:type="dxa"/>
            <w:vAlign w:val="bottom"/>
            <w:vMerge w:val="continue"/>
            <w:shd w:val="clear" w:color="auto" w:fill="E3EAEE"/>
          </w:tcPr>
          <w:p>
            <w:pPr>
              <w:spacing w:after="0"/>
              <w:rPr>
                <w:sz w:val="19"/>
                <w:szCs w:val="19"/>
                <w:color w:val="auto"/>
              </w:rPr>
            </w:pPr>
          </w:p>
        </w:tc>
        <w:tc>
          <w:tcPr>
            <w:tcW w:w="1900" w:type="dxa"/>
            <w:vAlign w:val="bottom"/>
            <w:vMerge w:val="continue"/>
            <w:shd w:val="clear" w:color="auto" w:fill="E3EA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shd w:val="clear" w:color="auto" w:fill="E3EAEE"/>
          </w:tcPr>
          <w:p>
            <w:pPr>
              <w:ind w:left="100"/>
              <w:spacing w:after="0"/>
              <w:rPr>
                <w:sz w:val="20"/>
                <w:szCs w:val="20"/>
                <w:color w:val="auto"/>
              </w:rPr>
            </w:pPr>
            <w:r>
              <w:rPr>
                <w:rFonts w:ascii="Arial" w:cs="Arial" w:eastAsia="Arial" w:hAnsi="Arial"/>
                <w:sz w:val="16"/>
                <w:szCs w:val="16"/>
                <w:color w:val="3E474E"/>
              </w:rPr>
              <w:t>Chief</w:t>
            </w:r>
          </w:p>
        </w:tc>
        <w:tc>
          <w:tcPr>
            <w:tcW w:w="260" w:type="dxa"/>
            <w:vAlign w:val="bottom"/>
            <w:shd w:val="clear" w:color="auto" w:fill="E3EAEE"/>
          </w:tcPr>
          <w:p>
            <w:pPr>
              <w:spacing w:after="0"/>
              <w:rPr>
                <w:sz w:val="19"/>
                <w:szCs w:val="19"/>
                <w:color w:val="auto"/>
              </w:rPr>
            </w:pPr>
          </w:p>
        </w:tc>
        <w:tc>
          <w:tcPr>
            <w:tcW w:w="1080" w:type="dxa"/>
            <w:vAlign w:val="bottom"/>
            <w:vMerge w:val="restart"/>
            <w:shd w:val="clear" w:color="auto" w:fill="E3EAEE"/>
          </w:tcPr>
          <w:p>
            <w:pPr>
              <w:jc w:val="center"/>
              <w:spacing w:after="0"/>
              <w:rPr>
                <w:sz w:val="20"/>
                <w:szCs w:val="20"/>
                <w:color w:val="auto"/>
              </w:rPr>
            </w:pPr>
            <w:r>
              <w:rPr>
                <w:rFonts w:ascii="Arial" w:cs="Arial" w:eastAsia="Arial" w:hAnsi="Arial"/>
                <w:sz w:val="16"/>
                <w:szCs w:val="16"/>
                <w:color w:val="3E474E"/>
              </w:rPr>
              <w:t>3/11/2024</w:t>
            </w:r>
          </w:p>
        </w:tc>
        <w:tc>
          <w:tcPr>
            <w:tcW w:w="320" w:type="dxa"/>
            <w:vAlign w:val="bottom"/>
            <w:shd w:val="clear" w:color="auto" w:fill="E3EAEE"/>
          </w:tcPr>
          <w:p>
            <w:pPr>
              <w:spacing w:after="0"/>
              <w:rPr>
                <w:sz w:val="19"/>
                <w:szCs w:val="19"/>
                <w:color w:val="auto"/>
              </w:rPr>
            </w:pPr>
          </w:p>
        </w:tc>
        <w:tc>
          <w:tcPr>
            <w:tcW w:w="1940" w:type="dxa"/>
            <w:vAlign w:val="bottom"/>
            <w:vMerge w:val="restart"/>
            <w:shd w:val="clear" w:color="auto" w:fill="E3EAEE"/>
          </w:tcPr>
          <w:p>
            <w:pPr>
              <w:jc w:val="right"/>
              <w:ind w:right="203"/>
              <w:spacing w:after="0"/>
              <w:rPr>
                <w:sz w:val="20"/>
                <w:szCs w:val="20"/>
                <w:color w:val="auto"/>
              </w:rPr>
            </w:pPr>
            <w:r>
              <w:rPr>
                <w:rFonts w:ascii="Arial" w:cs="Arial" w:eastAsia="Arial" w:hAnsi="Arial"/>
                <w:sz w:val="16"/>
                <w:szCs w:val="16"/>
                <w:color w:val="3E474E"/>
              </w:rPr>
              <w:t>10,446</w:t>
            </w:r>
          </w:p>
        </w:tc>
        <w:tc>
          <w:tcPr>
            <w:tcW w:w="2020" w:type="dxa"/>
            <w:vAlign w:val="bottom"/>
            <w:vMerge w:val="restart"/>
            <w:shd w:val="clear" w:color="auto" w:fill="E3EAEE"/>
          </w:tcPr>
          <w:p>
            <w:pPr>
              <w:jc w:val="right"/>
              <w:ind w:right="142"/>
              <w:spacing w:after="0"/>
              <w:rPr>
                <w:sz w:val="20"/>
                <w:szCs w:val="20"/>
                <w:color w:val="auto"/>
              </w:rPr>
            </w:pPr>
            <w:r>
              <w:rPr>
                <w:rFonts w:ascii="Arial" w:cs="Arial" w:eastAsia="Arial" w:hAnsi="Arial"/>
                <w:sz w:val="16"/>
                <w:szCs w:val="16"/>
                <w:color w:val="3E474E"/>
              </w:rPr>
              <w:t>69,153</w:t>
            </w:r>
          </w:p>
        </w:tc>
        <w:tc>
          <w:tcPr>
            <w:tcW w:w="2080" w:type="dxa"/>
            <w:vAlign w:val="bottom"/>
            <w:vMerge w:val="restart"/>
            <w:shd w:val="clear" w:color="auto" w:fill="E3EAEE"/>
          </w:tcPr>
          <w:p>
            <w:pPr>
              <w:jc w:val="right"/>
              <w:ind w:right="162"/>
              <w:spacing w:after="0"/>
              <w:rPr>
                <w:sz w:val="20"/>
                <w:szCs w:val="20"/>
                <w:color w:val="auto"/>
              </w:rPr>
            </w:pPr>
            <w:r>
              <w:rPr>
                <w:rFonts w:ascii="Arial" w:cs="Arial" w:eastAsia="Arial" w:hAnsi="Arial"/>
                <w:sz w:val="16"/>
                <w:szCs w:val="16"/>
                <w:color w:val="3E474E"/>
              </w:rPr>
              <w:t>—</w:t>
            </w:r>
          </w:p>
        </w:tc>
        <w:tc>
          <w:tcPr>
            <w:tcW w:w="1900" w:type="dxa"/>
            <w:vAlign w:val="bottom"/>
            <w:vMerge w:val="restart"/>
            <w:shd w:val="clear" w:color="auto" w:fill="E3EAEE"/>
          </w:tcPr>
          <w:p>
            <w:pPr>
              <w:jc w:val="right"/>
              <w:ind w:right="3"/>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189"/>
        </w:trPr>
        <w:tc>
          <w:tcPr>
            <w:tcW w:w="1080" w:type="dxa"/>
            <w:vAlign w:val="bottom"/>
            <w:shd w:val="clear" w:color="auto" w:fill="E3EAEE"/>
          </w:tcPr>
          <w:p>
            <w:pPr>
              <w:ind w:left="100"/>
              <w:spacing w:after="0"/>
              <w:rPr>
                <w:sz w:val="20"/>
                <w:szCs w:val="20"/>
                <w:color w:val="auto"/>
              </w:rPr>
            </w:pPr>
            <w:r>
              <w:rPr>
                <w:rFonts w:ascii="Arial" w:cs="Arial" w:eastAsia="Arial" w:hAnsi="Arial"/>
                <w:sz w:val="16"/>
                <w:szCs w:val="16"/>
                <w:color w:val="3E474E"/>
              </w:rPr>
              <w:t>Financial</w:t>
            </w:r>
          </w:p>
        </w:tc>
        <w:tc>
          <w:tcPr>
            <w:tcW w:w="260" w:type="dxa"/>
            <w:vAlign w:val="bottom"/>
            <w:shd w:val="clear" w:color="auto" w:fill="E3EAEE"/>
          </w:tcPr>
          <w:p>
            <w:pPr>
              <w:spacing w:after="0"/>
              <w:rPr>
                <w:sz w:val="16"/>
                <w:szCs w:val="16"/>
                <w:color w:val="auto"/>
              </w:rPr>
            </w:pPr>
          </w:p>
        </w:tc>
        <w:tc>
          <w:tcPr>
            <w:tcW w:w="1080" w:type="dxa"/>
            <w:vAlign w:val="bottom"/>
            <w:vMerge w:val="continue"/>
            <w:shd w:val="clear" w:color="auto" w:fill="E3EAEE"/>
          </w:tcPr>
          <w:p>
            <w:pPr>
              <w:spacing w:after="0"/>
              <w:rPr>
                <w:sz w:val="16"/>
                <w:szCs w:val="16"/>
                <w:color w:val="auto"/>
              </w:rPr>
            </w:pPr>
          </w:p>
        </w:tc>
        <w:tc>
          <w:tcPr>
            <w:tcW w:w="320" w:type="dxa"/>
            <w:vAlign w:val="bottom"/>
            <w:shd w:val="clear" w:color="auto" w:fill="E3EAEE"/>
          </w:tcPr>
          <w:p>
            <w:pPr>
              <w:spacing w:after="0"/>
              <w:rPr>
                <w:sz w:val="16"/>
                <w:szCs w:val="16"/>
                <w:color w:val="auto"/>
              </w:rPr>
            </w:pPr>
          </w:p>
        </w:tc>
        <w:tc>
          <w:tcPr>
            <w:tcW w:w="1940" w:type="dxa"/>
            <w:vAlign w:val="bottom"/>
            <w:vMerge w:val="continue"/>
            <w:shd w:val="clear" w:color="auto" w:fill="E3EAEE"/>
          </w:tcPr>
          <w:p>
            <w:pPr>
              <w:spacing w:after="0"/>
              <w:rPr>
                <w:sz w:val="16"/>
                <w:szCs w:val="16"/>
                <w:color w:val="auto"/>
              </w:rPr>
            </w:pPr>
          </w:p>
        </w:tc>
        <w:tc>
          <w:tcPr>
            <w:tcW w:w="2020" w:type="dxa"/>
            <w:vAlign w:val="bottom"/>
            <w:vMerge w:val="continue"/>
            <w:shd w:val="clear" w:color="auto" w:fill="E3EAEE"/>
          </w:tcPr>
          <w:p>
            <w:pPr>
              <w:spacing w:after="0"/>
              <w:rPr>
                <w:sz w:val="16"/>
                <w:szCs w:val="16"/>
                <w:color w:val="auto"/>
              </w:rPr>
            </w:pPr>
          </w:p>
        </w:tc>
        <w:tc>
          <w:tcPr>
            <w:tcW w:w="2080" w:type="dxa"/>
            <w:vAlign w:val="bottom"/>
            <w:vMerge w:val="continue"/>
            <w:shd w:val="clear" w:color="auto" w:fill="E3EAEE"/>
          </w:tcPr>
          <w:p>
            <w:pPr>
              <w:spacing w:after="0"/>
              <w:rPr>
                <w:sz w:val="16"/>
                <w:szCs w:val="16"/>
                <w:color w:val="auto"/>
              </w:rPr>
            </w:pPr>
          </w:p>
        </w:tc>
        <w:tc>
          <w:tcPr>
            <w:tcW w:w="1900" w:type="dxa"/>
            <w:vAlign w:val="bottom"/>
            <w:vMerge w:val="continue"/>
            <w:shd w:val="clear" w:color="auto" w:fill="E3EAE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E3EAEE"/>
          </w:tcPr>
          <w:p>
            <w:pPr>
              <w:ind w:left="100"/>
              <w:spacing w:after="0"/>
              <w:rPr>
                <w:sz w:val="20"/>
                <w:szCs w:val="20"/>
                <w:color w:val="auto"/>
              </w:rPr>
            </w:pPr>
            <w:r>
              <w:rPr>
                <w:rFonts w:ascii="Arial" w:cs="Arial" w:eastAsia="Arial" w:hAnsi="Arial"/>
                <w:sz w:val="16"/>
                <w:szCs w:val="16"/>
                <w:color w:val="3E474E"/>
              </w:rPr>
              <w:t>Officer and</w:t>
            </w:r>
          </w:p>
        </w:tc>
        <w:tc>
          <w:tcPr>
            <w:tcW w:w="260" w:type="dxa"/>
            <w:vAlign w:val="bottom"/>
            <w:shd w:val="clear" w:color="auto" w:fill="E3EAEE"/>
          </w:tcPr>
          <w:p>
            <w:pPr>
              <w:spacing w:after="0"/>
              <w:rPr>
                <w:sz w:val="17"/>
                <w:szCs w:val="17"/>
                <w:color w:val="auto"/>
              </w:rPr>
            </w:pPr>
          </w:p>
        </w:tc>
        <w:tc>
          <w:tcPr>
            <w:tcW w:w="1080" w:type="dxa"/>
            <w:vAlign w:val="bottom"/>
            <w:vMerge w:val="restart"/>
            <w:shd w:val="clear" w:color="auto" w:fill="E3EAEE"/>
          </w:tcPr>
          <w:p>
            <w:pPr>
              <w:jc w:val="center"/>
              <w:spacing w:after="0"/>
              <w:rPr>
                <w:sz w:val="20"/>
                <w:szCs w:val="20"/>
                <w:color w:val="auto"/>
              </w:rPr>
            </w:pPr>
            <w:r>
              <w:rPr>
                <w:rFonts w:ascii="Arial" w:cs="Arial" w:eastAsia="Arial" w:hAnsi="Arial"/>
                <w:sz w:val="16"/>
                <w:szCs w:val="16"/>
                <w:color w:val="3E474E"/>
              </w:rPr>
              <w:t>6/20/2023</w:t>
            </w:r>
          </w:p>
        </w:tc>
        <w:tc>
          <w:tcPr>
            <w:tcW w:w="320" w:type="dxa"/>
            <w:vAlign w:val="bottom"/>
            <w:shd w:val="clear" w:color="auto" w:fill="E3EAEE"/>
          </w:tcPr>
          <w:p>
            <w:pPr>
              <w:spacing w:after="0"/>
              <w:rPr>
                <w:sz w:val="17"/>
                <w:szCs w:val="17"/>
                <w:color w:val="auto"/>
              </w:rPr>
            </w:pPr>
          </w:p>
        </w:tc>
        <w:tc>
          <w:tcPr>
            <w:tcW w:w="1940" w:type="dxa"/>
            <w:vAlign w:val="bottom"/>
            <w:vMerge w:val="restart"/>
            <w:shd w:val="clear" w:color="auto" w:fill="E3EAEE"/>
          </w:tcPr>
          <w:p>
            <w:pPr>
              <w:jc w:val="right"/>
              <w:ind w:right="203"/>
              <w:spacing w:after="0"/>
              <w:rPr>
                <w:sz w:val="20"/>
                <w:szCs w:val="20"/>
                <w:color w:val="auto"/>
              </w:rPr>
            </w:pPr>
            <w:r>
              <w:rPr>
                <w:rFonts w:ascii="Arial" w:cs="Arial" w:eastAsia="Arial" w:hAnsi="Arial"/>
                <w:sz w:val="16"/>
                <w:szCs w:val="16"/>
                <w:color w:val="3E474E"/>
              </w:rPr>
              <w:t>2,991</w:t>
            </w:r>
          </w:p>
        </w:tc>
        <w:tc>
          <w:tcPr>
            <w:tcW w:w="2020" w:type="dxa"/>
            <w:vAlign w:val="bottom"/>
            <w:vMerge w:val="restart"/>
            <w:shd w:val="clear" w:color="auto" w:fill="E3EAEE"/>
          </w:tcPr>
          <w:p>
            <w:pPr>
              <w:jc w:val="right"/>
              <w:ind w:right="142"/>
              <w:spacing w:after="0"/>
              <w:rPr>
                <w:sz w:val="20"/>
                <w:szCs w:val="20"/>
                <w:color w:val="auto"/>
              </w:rPr>
            </w:pPr>
            <w:r>
              <w:rPr>
                <w:rFonts w:ascii="Arial" w:cs="Arial" w:eastAsia="Arial" w:hAnsi="Arial"/>
                <w:sz w:val="16"/>
                <w:szCs w:val="16"/>
                <w:color w:val="3E474E"/>
              </w:rPr>
              <w:t>19,800</w:t>
            </w:r>
          </w:p>
        </w:tc>
        <w:tc>
          <w:tcPr>
            <w:tcW w:w="2080" w:type="dxa"/>
            <w:vAlign w:val="bottom"/>
            <w:vMerge w:val="restart"/>
            <w:shd w:val="clear" w:color="auto" w:fill="E3EAEE"/>
          </w:tcPr>
          <w:p>
            <w:pPr>
              <w:jc w:val="right"/>
              <w:ind w:right="162"/>
              <w:spacing w:after="0"/>
              <w:rPr>
                <w:sz w:val="20"/>
                <w:szCs w:val="20"/>
                <w:color w:val="auto"/>
              </w:rPr>
            </w:pPr>
            <w:r>
              <w:rPr>
                <w:rFonts w:ascii="Arial" w:cs="Arial" w:eastAsia="Arial" w:hAnsi="Arial"/>
                <w:sz w:val="16"/>
                <w:szCs w:val="16"/>
                <w:color w:val="3E474E"/>
              </w:rPr>
              <w:t>—</w:t>
            </w:r>
          </w:p>
        </w:tc>
        <w:tc>
          <w:tcPr>
            <w:tcW w:w="1900" w:type="dxa"/>
            <w:vAlign w:val="bottom"/>
            <w:vMerge w:val="restart"/>
            <w:shd w:val="clear" w:color="auto" w:fill="E3EAEE"/>
          </w:tcPr>
          <w:p>
            <w:pPr>
              <w:jc w:val="right"/>
              <w:ind w:right="3"/>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15"/>
        </w:trPr>
        <w:tc>
          <w:tcPr>
            <w:tcW w:w="1080" w:type="dxa"/>
            <w:vAlign w:val="bottom"/>
            <w:shd w:val="clear" w:color="auto" w:fill="E3EAEE"/>
          </w:tcPr>
          <w:p>
            <w:pPr>
              <w:ind w:left="100"/>
              <w:spacing w:after="0"/>
              <w:rPr>
                <w:sz w:val="20"/>
                <w:szCs w:val="20"/>
                <w:color w:val="auto"/>
              </w:rPr>
            </w:pPr>
            <w:r>
              <w:rPr>
                <w:rFonts w:ascii="Arial" w:cs="Arial" w:eastAsia="Arial" w:hAnsi="Arial"/>
                <w:sz w:val="16"/>
                <w:szCs w:val="16"/>
                <w:color w:val="3E474E"/>
              </w:rPr>
              <w:t>Treasurer</w:t>
            </w:r>
          </w:p>
        </w:tc>
        <w:tc>
          <w:tcPr>
            <w:tcW w:w="260" w:type="dxa"/>
            <w:vAlign w:val="bottom"/>
            <w:shd w:val="clear" w:color="auto" w:fill="E3EAEE"/>
          </w:tcPr>
          <w:p>
            <w:pPr>
              <w:spacing w:after="0"/>
              <w:rPr>
                <w:sz w:val="18"/>
                <w:szCs w:val="18"/>
                <w:color w:val="auto"/>
              </w:rPr>
            </w:pPr>
          </w:p>
        </w:tc>
        <w:tc>
          <w:tcPr>
            <w:tcW w:w="1080" w:type="dxa"/>
            <w:vAlign w:val="bottom"/>
            <w:vMerge w:val="continue"/>
            <w:shd w:val="clear" w:color="auto" w:fill="E3EAEE"/>
          </w:tcPr>
          <w:p>
            <w:pPr>
              <w:spacing w:after="0"/>
              <w:rPr>
                <w:sz w:val="18"/>
                <w:szCs w:val="18"/>
                <w:color w:val="auto"/>
              </w:rPr>
            </w:pPr>
          </w:p>
        </w:tc>
        <w:tc>
          <w:tcPr>
            <w:tcW w:w="320" w:type="dxa"/>
            <w:vAlign w:val="bottom"/>
            <w:shd w:val="clear" w:color="auto" w:fill="E3EAEE"/>
          </w:tcPr>
          <w:p>
            <w:pPr>
              <w:spacing w:after="0"/>
              <w:rPr>
                <w:sz w:val="18"/>
                <w:szCs w:val="18"/>
                <w:color w:val="auto"/>
              </w:rPr>
            </w:pPr>
          </w:p>
        </w:tc>
        <w:tc>
          <w:tcPr>
            <w:tcW w:w="1940" w:type="dxa"/>
            <w:vAlign w:val="bottom"/>
            <w:vMerge w:val="continue"/>
            <w:shd w:val="clear" w:color="auto" w:fill="E3EAEE"/>
          </w:tcPr>
          <w:p>
            <w:pPr>
              <w:spacing w:after="0"/>
              <w:rPr>
                <w:sz w:val="18"/>
                <w:szCs w:val="18"/>
                <w:color w:val="auto"/>
              </w:rPr>
            </w:pPr>
          </w:p>
        </w:tc>
        <w:tc>
          <w:tcPr>
            <w:tcW w:w="2020" w:type="dxa"/>
            <w:vAlign w:val="bottom"/>
            <w:vMerge w:val="continue"/>
            <w:shd w:val="clear" w:color="auto" w:fill="E3EAEE"/>
          </w:tcPr>
          <w:p>
            <w:pPr>
              <w:spacing w:after="0"/>
              <w:rPr>
                <w:sz w:val="18"/>
                <w:szCs w:val="18"/>
                <w:color w:val="auto"/>
              </w:rPr>
            </w:pPr>
          </w:p>
        </w:tc>
        <w:tc>
          <w:tcPr>
            <w:tcW w:w="2080" w:type="dxa"/>
            <w:vAlign w:val="bottom"/>
            <w:vMerge w:val="continue"/>
            <w:shd w:val="clear" w:color="auto" w:fill="E3EAEE"/>
          </w:tcPr>
          <w:p>
            <w:pPr>
              <w:spacing w:after="0"/>
              <w:rPr>
                <w:sz w:val="18"/>
                <w:szCs w:val="18"/>
                <w:color w:val="auto"/>
              </w:rPr>
            </w:pPr>
          </w:p>
        </w:tc>
        <w:tc>
          <w:tcPr>
            <w:tcW w:w="1900" w:type="dxa"/>
            <w:vAlign w:val="bottom"/>
            <w:vMerge w:val="continue"/>
            <w:shd w:val="clear" w:color="auto" w:fill="E3EAEE"/>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080" w:type="dxa"/>
            <w:vAlign w:val="bottom"/>
            <w:shd w:val="clear" w:color="auto" w:fill="E3EAEE"/>
          </w:tcPr>
          <w:p>
            <w:pPr>
              <w:spacing w:after="0"/>
              <w:rPr>
                <w:sz w:val="8"/>
                <w:szCs w:val="8"/>
                <w:color w:val="auto"/>
              </w:rPr>
            </w:pPr>
          </w:p>
        </w:tc>
        <w:tc>
          <w:tcPr>
            <w:tcW w:w="260" w:type="dxa"/>
            <w:vAlign w:val="bottom"/>
            <w:shd w:val="clear" w:color="auto" w:fill="E3EAEE"/>
          </w:tcPr>
          <w:p>
            <w:pPr>
              <w:spacing w:after="0"/>
              <w:rPr>
                <w:sz w:val="8"/>
                <w:szCs w:val="8"/>
                <w:color w:val="auto"/>
              </w:rPr>
            </w:pPr>
          </w:p>
        </w:tc>
        <w:tc>
          <w:tcPr>
            <w:tcW w:w="1080" w:type="dxa"/>
            <w:vAlign w:val="bottom"/>
            <w:shd w:val="clear" w:color="auto" w:fill="E3EAEE"/>
          </w:tcPr>
          <w:p>
            <w:pPr>
              <w:spacing w:after="0"/>
              <w:rPr>
                <w:sz w:val="8"/>
                <w:szCs w:val="8"/>
                <w:color w:val="auto"/>
              </w:rPr>
            </w:pPr>
          </w:p>
        </w:tc>
        <w:tc>
          <w:tcPr>
            <w:tcW w:w="320" w:type="dxa"/>
            <w:vAlign w:val="bottom"/>
            <w:shd w:val="clear" w:color="auto" w:fill="E3EAEE"/>
          </w:tcPr>
          <w:p>
            <w:pPr>
              <w:spacing w:after="0"/>
              <w:rPr>
                <w:sz w:val="8"/>
                <w:szCs w:val="8"/>
                <w:color w:val="auto"/>
              </w:rPr>
            </w:pPr>
          </w:p>
        </w:tc>
        <w:tc>
          <w:tcPr>
            <w:tcW w:w="1940" w:type="dxa"/>
            <w:vAlign w:val="bottom"/>
            <w:shd w:val="clear" w:color="auto" w:fill="E3EAEE"/>
          </w:tcPr>
          <w:p>
            <w:pPr>
              <w:spacing w:after="0"/>
              <w:rPr>
                <w:sz w:val="8"/>
                <w:szCs w:val="8"/>
                <w:color w:val="auto"/>
              </w:rPr>
            </w:pPr>
          </w:p>
        </w:tc>
        <w:tc>
          <w:tcPr>
            <w:tcW w:w="2020" w:type="dxa"/>
            <w:vAlign w:val="bottom"/>
            <w:shd w:val="clear" w:color="auto" w:fill="E3EAEE"/>
          </w:tcPr>
          <w:p>
            <w:pPr>
              <w:spacing w:after="0"/>
              <w:rPr>
                <w:sz w:val="8"/>
                <w:szCs w:val="8"/>
                <w:color w:val="auto"/>
              </w:rPr>
            </w:pPr>
          </w:p>
        </w:tc>
        <w:tc>
          <w:tcPr>
            <w:tcW w:w="2080" w:type="dxa"/>
            <w:vAlign w:val="bottom"/>
            <w:shd w:val="clear" w:color="auto" w:fill="E3EAEE"/>
          </w:tcPr>
          <w:p>
            <w:pPr>
              <w:spacing w:after="0"/>
              <w:rPr>
                <w:sz w:val="8"/>
                <w:szCs w:val="8"/>
                <w:color w:val="auto"/>
              </w:rPr>
            </w:pPr>
          </w:p>
        </w:tc>
        <w:tc>
          <w:tcPr>
            <w:tcW w:w="1900" w:type="dxa"/>
            <w:vAlign w:val="bottom"/>
            <w:shd w:val="clear" w:color="auto" w:fill="E3EAEE"/>
          </w:tcPr>
          <w:p>
            <w:pPr>
              <w:spacing w:after="0"/>
              <w:rPr>
                <w:sz w:val="8"/>
                <w:szCs w:val="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81"/>
        </w:numPr>
        <w:rPr>
          <w:rFonts w:ascii="Arial" w:cs="Arial" w:eastAsia="Arial" w:hAnsi="Arial"/>
          <w:sz w:val="16"/>
          <w:szCs w:val="16"/>
          <w:color w:val="3E474E"/>
          <w:vertAlign w:val="superscript"/>
        </w:rPr>
      </w:pPr>
      <w:r>
        <w:rPr>
          <w:rFonts w:ascii="Arial" w:cs="Arial" w:eastAsia="Arial" w:hAnsi="Arial"/>
          <w:sz w:val="13"/>
          <w:szCs w:val="13"/>
          <w:color w:val="3E474E"/>
        </w:rPr>
        <w:t>For information regarding vesting periods and performance-based vesting conditions, see “Compensation Discussion and Analysis - 2025 Compensation Decisions” above.</w:t>
      </w:r>
    </w:p>
    <w:p>
      <w:pPr>
        <w:spacing w:after="0" w:line="48" w:lineRule="exact"/>
        <w:rPr>
          <w:rFonts w:ascii="Arial" w:cs="Arial" w:eastAsia="Arial" w:hAnsi="Arial"/>
          <w:sz w:val="16"/>
          <w:szCs w:val="16"/>
          <w:color w:val="3E474E"/>
          <w:vertAlign w:val="superscript"/>
        </w:rPr>
      </w:pPr>
    </w:p>
    <w:p>
      <w:pPr>
        <w:ind w:left="180" w:right="60" w:hanging="172"/>
        <w:spacing w:after="0" w:line="217" w:lineRule="auto"/>
        <w:tabs>
          <w:tab w:leader="none" w:pos="140" w:val="left"/>
        </w:tabs>
        <w:numPr>
          <w:ilvl w:val="0"/>
          <w:numId w:val="81"/>
        </w:numPr>
        <w:rPr>
          <w:rFonts w:ascii="Arial" w:cs="Arial" w:eastAsia="Arial" w:hAnsi="Arial"/>
          <w:sz w:val="16"/>
          <w:szCs w:val="16"/>
          <w:color w:val="3E474E"/>
          <w:vertAlign w:val="superscript"/>
        </w:rPr>
      </w:pPr>
      <w:r>
        <w:rPr>
          <w:rFonts w:ascii="Arial" w:cs="Arial" w:eastAsia="Arial" w:hAnsi="Arial"/>
          <w:sz w:val="13"/>
          <w:szCs w:val="13"/>
          <w:color w:val="3E474E"/>
        </w:rPr>
        <w:t>Market value reflects the number of restricted shares, Time-Based LTIP units, or Performance-Based LTIP units multiplied by $6.62 per share, which was the closing price of our common stock on the NYSE on December 31, 2025.</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3E474E"/>
          <w:vertAlign w:val="superscript"/>
        </w:rPr>
        <w:t>(3</w:t>
      </w:r>
      <w:r>
        <w:rPr>
          <w:rFonts w:ascii="Arial" w:cs="Arial" w:eastAsia="Arial" w:hAnsi="Arial"/>
          <w:sz w:val="13"/>
          <w:szCs w:val="13"/>
          <w:color w:val="3E474E"/>
        </w:rPr>
        <w:t xml:space="preserve"> For Performance-Based LTIP units, awards granted on June 20, 2025 are displayed at target, and awards granted on March 3, 2025 represent the award at threshold.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1478A3"/>
        </w:rPr>
        <w:t>2025 Option Exercises and Stock Vested</w:t>
      </w:r>
    </w:p>
    <w:p>
      <w:pPr>
        <w:spacing w:after="0" w:line="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E474E"/>
        </w:rPr>
        <w:t>The following table sets forth, for each of our NEOs, the number of shares of our time-vesting restricted shares of common stock, Time-Based LTIP units and Performance-Based LTIP units that vested in 2025 as well as the value of those awards upon vesting.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80" w:type="dxa"/>
            <w:vAlign w:val="bottom"/>
            <w:shd w:val="clear" w:color="auto" w:fill="E3EAEE"/>
          </w:tcPr>
          <w:p>
            <w:pPr>
              <w:spacing w:after="0"/>
              <w:rPr>
                <w:sz w:val="21"/>
                <w:szCs w:val="21"/>
                <w:color w:val="auto"/>
              </w:rPr>
            </w:pPr>
          </w:p>
        </w:tc>
        <w:tc>
          <w:tcPr>
            <w:tcW w:w="4660" w:type="dxa"/>
            <w:vAlign w:val="bottom"/>
            <w:gridSpan w:val="2"/>
            <w:shd w:val="clear" w:color="auto" w:fill="E3EAEE"/>
          </w:tcPr>
          <w:p>
            <w:pPr>
              <w:jc w:val="right"/>
              <w:ind w:right="1221"/>
              <w:spacing w:after="0"/>
              <w:rPr>
                <w:sz w:val="20"/>
                <w:szCs w:val="20"/>
                <w:color w:val="auto"/>
              </w:rPr>
            </w:pPr>
            <w:r>
              <w:rPr>
                <w:rFonts w:ascii="Arial" w:cs="Arial" w:eastAsia="Arial" w:hAnsi="Arial"/>
                <w:sz w:val="16"/>
                <w:szCs w:val="16"/>
                <w:b w:val="1"/>
                <w:bCs w:val="1"/>
                <w:color w:val="1478A3"/>
              </w:rPr>
              <w:t>Time-Vested Stock Awards</w:t>
            </w:r>
          </w:p>
        </w:tc>
        <w:tc>
          <w:tcPr>
            <w:tcW w:w="0" w:type="dxa"/>
            <w:vAlign w:val="bottom"/>
          </w:tcPr>
          <w:p>
            <w:pPr>
              <w:spacing w:after="0"/>
              <w:rPr>
                <w:sz w:val="1"/>
                <w:szCs w:val="1"/>
                <w:color w:val="auto"/>
              </w:rPr>
            </w:pPr>
          </w:p>
        </w:tc>
      </w:tr>
      <w:tr>
        <w:trPr>
          <w:trHeight w:val="162"/>
        </w:trPr>
        <w:tc>
          <w:tcPr>
            <w:tcW w:w="6480" w:type="dxa"/>
            <w:vAlign w:val="bottom"/>
            <w:vMerge w:val="restart"/>
            <w:shd w:val="clear" w:color="auto" w:fill="E3EAEE"/>
          </w:tcPr>
          <w:p>
            <w:pPr>
              <w:ind w:left="20"/>
              <w:spacing w:after="0"/>
              <w:rPr>
                <w:sz w:val="20"/>
                <w:szCs w:val="20"/>
                <w:color w:val="auto"/>
              </w:rPr>
            </w:pPr>
            <w:r>
              <w:rPr>
                <w:rFonts w:ascii="Arial" w:cs="Arial" w:eastAsia="Arial" w:hAnsi="Arial"/>
                <w:sz w:val="16"/>
                <w:szCs w:val="16"/>
                <w:b w:val="1"/>
                <w:bCs w:val="1"/>
                <w:color w:val="1478A3"/>
              </w:rPr>
              <w:t>Name</w:t>
            </w:r>
          </w:p>
        </w:tc>
        <w:tc>
          <w:tcPr>
            <w:tcW w:w="2380" w:type="dxa"/>
            <w:vAlign w:val="bottom"/>
            <w:shd w:val="clear" w:color="auto" w:fill="E3EAEE"/>
          </w:tcPr>
          <w:p>
            <w:pPr>
              <w:jc w:val="right"/>
              <w:spacing w:after="0" w:line="162" w:lineRule="exact"/>
              <w:rPr>
                <w:sz w:val="20"/>
                <w:szCs w:val="20"/>
                <w:color w:val="auto"/>
              </w:rPr>
            </w:pPr>
            <w:r>
              <w:rPr>
                <w:rFonts w:ascii="Arial" w:cs="Arial" w:eastAsia="Arial" w:hAnsi="Arial"/>
                <w:sz w:val="16"/>
                <w:szCs w:val="16"/>
                <w:color w:val="1478A3"/>
              </w:rPr>
              <w:t>Number of Shares or Units</w:t>
            </w:r>
          </w:p>
        </w:tc>
        <w:tc>
          <w:tcPr>
            <w:tcW w:w="2280" w:type="dxa"/>
            <w:vAlign w:val="bottom"/>
            <w:shd w:val="clear" w:color="auto" w:fill="E3EAEE"/>
          </w:tcPr>
          <w:p>
            <w:pPr>
              <w:jc w:val="right"/>
              <w:spacing w:after="0" w:line="163" w:lineRule="exact"/>
              <w:rPr>
                <w:sz w:val="20"/>
                <w:szCs w:val="20"/>
                <w:color w:val="auto"/>
              </w:rPr>
            </w:pPr>
            <w:r>
              <w:rPr>
                <w:rFonts w:ascii="Arial" w:cs="Arial" w:eastAsia="Arial" w:hAnsi="Arial"/>
                <w:sz w:val="14"/>
                <w:szCs w:val="14"/>
                <w:color w:val="1478A3"/>
              </w:rPr>
              <w:t>Value Realized on Vesting</w:t>
            </w:r>
            <w:r>
              <w:rPr>
                <w:rFonts w:ascii="Arial" w:cs="Arial" w:eastAsia="Arial" w:hAnsi="Arial"/>
                <w:sz w:val="18"/>
                <w:szCs w:val="18"/>
                <w:color w:val="1478A3"/>
                <w:vertAlign w:val="superscript"/>
              </w:rPr>
              <w:t>(1)</w:t>
            </w:r>
          </w:p>
        </w:tc>
        <w:tc>
          <w:tcPr>
            <w:tcW w:w="0" w:type="dxa"/>
            <w:vAlign w:val="bottom"/>
          </w:tcPr>
          <w:p>
            <w:pPr>
              <w:spacing w:after="0"/>
              <w:rPr>
                <w:sz w:val="1"/>
                <w:szCs w:val="1"/>
                <w:color w:val="auto"/>
              </w:rPr>
            </w:pPr>
          </w:p>
        </w:tc>
      </w:tr>
      <w:tr>
        <w:trPr>
          <w:trHeight w:val="270"/>
        </w:trPr>
        <w:tc>
          <w:tcPr>
            <w:tcW w:w="6480" w:type="dxa"/>
            <w:vAlign w:val="bottom"/>
            <w:tcBorders>
              <w:bottom w:val="single" w:sz="8" w:color="E3EAEE"/>
            </w:tcBorders>
            <w:vMerge w:val="continue"/>
            <w:shd w:val="clear" w:color="auto" w:fill="E3EAEE"/>
          </w:tcPr>
          <w:p>
            <w:pPr>
              <w:spacing w:after="0"/>
              <w:rPr>
                <w:sz w:val="23"/>
                <w:szCs w:val="23"/>
                <w:color w:val="auto"/>
              </w:rPr>
            </w:pPr>
          </w:p>
        </w:tc>
        <w:tc>
          <w:tcPr>
            <w:tcW w:w="238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1478A3"/>
              </w:rPr>
              <w:t>Acquired on Vesting</w:t>
            </w:r>
          </w:p>
        </w:tc>
        <w:tc>
          <w:tcPr>
            <w:tcW w:w="228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1478A3"/>
              </w:rPr>
              <w:t>($)</w:t>
            </w:r>
          </w:p>
        </w:tc>
        <w:tc>
          <w:tcPr>
            <w:tcW w:w="0" w:type="dxa"/>
            <w:vAlign w:val="bottom"/>
          </w:tcPr>
          <w:p>
            <w:pPr>
              <w:spacing w:after="0"/>
              <w:rPr>
                <w:sz w:val="1"/>
                <w:szCs w:val="1"/>
                <w:color w:val="auto"/>
              </w:rPr>
            </w:pPr>
          </w:p>
        </w:tc>
      </w:tr>
      <w:tr>
        <w:trPr>
          <w:trHeight w:val="270"/>
        </w:trPr>
        <w:tc>
          <w:tcPr>
            <w:tcW w:w="6480" w:type="dxa"/>
            <w:vAlign w:val="bottom"/>
            <w:tcBorders>
              <w:top w:val="single" w:sz="8" w:color="1478A3"/>
              <w:bottom w:val="single" w:sz="8" w:color="E3EAEE"/>
            </w:tcBorders>
            <w:shd w:val="clear" w:color="auto" w:fill="E3EAEE"/>
          </w:tcPr>
          <w:p>
            <w:pPr>
              <w:ind w:left="180"/>
              <w:spacing w:after="0"/>
              <w:rPr>
                <w:sz w:val="20"/>
                <w:szCs w:val="20"/>
                <w:color w:val="auto"/>
              </w:rPr>
            </w:pPr>
            <w:r>
              <w:rPr>
                <w:rFonts w:ascii="Arial" w:cs="Arial" w:eastAsia="Arial" w:hAnsi="Arial"/>
                <w:sz w:val="16"/>
                <w:szCs w:val="16"/>
                <w:b w:val="1"/>
                <w:bCs w:val="1"/>
                <w:color w:val="3E474E"/>
              </w:rPr>
              <w:t>Shawn J. Tibbetts</w:t>
            </w:r>
          </w:p>
        </w:tc>
        <w:tc>
          <w:tcPr>
            <w:tcW w:w="2380" w:type="dxa"/>
            <w:vAlign w:val="bottom"/>
            <w:tcBorders>
              <w:top w:val="single" w:sz="8" w:color="1478A3"/>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71,336</w:t>
            </w:r>
          </w:p>
        </w:tc>
        <w:tc>
          <w:tcPr>
            <w:tcW w:w="2280" w:type="dxa"/>
            <w:vAlign w:val="bottom"/>
            <w:tcBorders>
              <w:top w:val="single" w:sz="8" w:color="1478A3"/>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601,530</w:t>
            </w:r>
          </w:p>
        </w:tc>
        <w:tc>
          <w:tcPr>
            <w:tcW w:w="0" w:type="dxa"/>
            <w:vAlign w:val="bottom"/>
          </w:tcPr>
          <w:p>
            <w:pPr>
              <w:spacing w:after="0"/>
              <w:rPr>
                <w:sz w:val="1"/>
                <w:szCs w:val="1"/>
                <w:color w:val="auto"/>
              </w:rPr>
            </w:pPr>
          </w:p>
        </w:tc>
      </w:tr>
      <w:tr>
        <w:trPr>
          <w:trHeight w:val="255"/>
        </w:trPr>
        <w:tc>
          <w:tcPr>
            <w:tcW w:w="6480" w:type="dxa"/>
            <w:vAlign w:val="bottom"/>
          </w:tcPr>
          <w:p>
            <w:pPr>
              <w:ind w:left="180"/>
              <w:spacing w:after="0"/>
              <w:rPr>
                <w:sz w:val="20"/>
                <w:szCs w:val="20"/>
                <w:color w:val="auto"/>
              </w:rPr>
            </w:pPr>
            <w:r>
              <w:rPr>
                <w:rFonts w:ascii="Arial" w:cs="Arial" w:eastAsia="Arial" w:hAnsi="Arial"/>
                <w:sz w:val="16"/>
                <w:szCs w:val="16"/>
                <w:b w:val="1"/>
                <w:bCs w:val="1"/>
                <w:color w:val="3E474E"/>
              </w:rPr>
              <w:t>Matthew T. Barnes-Smith</w:t>
            </w:r>
          </w:p>
        </w:tc>
        <w:tc>
          <w:tcPr>
            <w:tcW w:w="2380" w:type="dxa"/>
            <w:vAlign w:val="bottom"/>
          </w:tcPr>
          <w:p>
            <w:pPr>
              <w:jc w:val="right"/>
              <w:spacing w:after="0"/>
              <w:rPr>
                <w:sz w:val="20"/>
                <w:szCs w:val="20"/>
                <w:color w:val="auto"/>
              </w:rPr>
            </w:pPr>
            <w:r>
              <w:rPr>
                <w:rFonts w:ascii="Arial" w:cs="Arial" w:eastAsia="Arial" w:hAnsi="Arial"/>
                <w:sz w:val="16"/>
                <w:szCs w:val="16"/>
                <w:color w:val="3E474E"/>
              </w:rPr>
              <w:t>27,521</w:t>
            </w:r>
          </w:p>
        </w:tc>
        <w:tc>
          <w:tcPr>
            <w:tcW w:w="2280" w:type="dxa"/>
            <w:vAlign w:val="bottom"/>
          </w:tcPr>
          <w:p>
            <w:pPr>
              <w:jc w:val="right"/>
              <w:spacing w:after="0"/>
              <w:rPr>
                <w:sz w:val="20"/>
                <w:szCs w:val="20"/>
                <w:color w:val="auto"/>
              </w:rPr>
            </w:pPr>
            <w:r>
              <w:rPr>
                <w:rFonts w:ascii="Arial" w:cs="Arial" w:eastAsia="Arial" w:hAnsi="Arial"/>
                <w:sz w:val="16"/>
                <w:szCs w:val="16"/>
                <w:color w:val="3E474E"/>
              </w:rPr>
              <w:t>223,568</w:t>
            </w:r>
          </w:p>
        </w:tc>
        <w:tc>
          <w:tcPr>
            <w:tcW w:w="0" w:type="dxa"/>
            <w:vAlign w:val="bottom"/>
          </w:tcPr>
          <w:p>
            <w:pPr>
              <w:spacing w:after="0"/>
              <w:rPr>
                <w:sz w:val="1"/>
                <w:szCs w:val="1"/>
                <w:color w:val="auto"/>
              </w:rPr>
            </w:pPr>
          </w:p>
        </w:tc>
      </w:tr>
      <w:tr>
        <w:trPr>
          <w:trHeight w:val="43"/>
        </w:trPr>
        <w:tc>
          <w:tcPr>
            <w:tcW w:w="64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6480" w:type="dxa"/>
            <w:vAlign w:val="bottom"/>
            <w:shd w:val="clear" w:color="auto" w:fill="E3EAEE"/>
          </w:tcPr>
          <w:p>
            <w:pPr>
              <w:ind w:left="100"/>
              <w:spacing w:after="0"/>
              <w:rPr>
                <w:sz w:val="20"/>
                <w:szCs w:val="20"/>
                <w:color w:val="auto"/>
              </w:rPr>
            </w:pPr>
            <w:r>
              <w:rPr>
                <w:rFonts w:ascii="Arial" w:cs="Arial" w:eastAsia="Arial" w:hAnsi="Arial"/>
                <w:sz w:val="16"/>
                <w:szCs w:val="16"/>
                <w:b w:val="1"/>
                <w:bCs w:val="1"/>
                <w:color w:val="3E474E"/>
              </w:rPr>
              <w:t>Eric E. Apperson</w:t>
            </w:r>
            <w:r>
              <w:rPr>
                <w:rFonts w:ascii="Arial" w:cs="Arial" w:eastAsia="Arial" w:hAnsi="Arial"/>
                <w:sz w:val="21"/>
                <w:szCs w:val="21"/>
                <w:b w:val="1"/>
                <w:bCs w:val="1"/>
                <w:color w:val="3E474E"/>
                <w:vertAlign w:val="superscript"/>
              </w:rPr>
              <w:t>(2)</w:t>
            </w:r>
          </w:p>
        </w:tc>
        <w:tc>
          <w:tcPr>
            <w:tcW w:w="23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64,582</w:t>
            </w:r>
          </w:p>
        </w:tc>
        <w:tc>
          <w:tcPr>
            <w:tcW w:w="22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524,905</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80" w:right="60" w:hanging="172"/>
        <w:spacing w:after="0" w:line="230" w:lineRule="auto"/>
        <w:tabs>
          <w:tab w:leader="none" w:pos="140" w:val="left"/>
        </w:tabs>
        <w:numPr>
          <w:ilvl w:val="0"/>
          <w:numId w:val="82"/>
        </w:numPr>
        <w:rPr>
          <w:rFonts w:ascii="Arial" w:cs="Arial" w:eastAsia="Arial" w:hAnsi="Arial"/>
          <w:sz w:val="16"/>
          <w:szCs w:val="16"/>
          <w:color w:val="3E474E"/>
          <w:vertAlign w:val="superscript"/>
        </w:rPr>
      </w:pPr>
      <w:r>
        <w:rPr>
          <w:rFonts w:ascii="Arial" w:cs="Arial" w:eastAsia="Arial" w:hAnsi="Arial"/>
          <w:sz w:val="13"/>
          <w:szCs w:val="13"/>
          <w:color w:val="3E474E"/>
        </w:rPr>
        <w:t>Value realized reflects the number of shares acquired on vesting multiplied by the closing price of our common stock on the NYSE the day before vesting, plus the value of LTIP Units acquired on vesting multiplied by $8.19 by per unit, which was the fair value of LTIP units granted on March, 3, 2025 which vested immediately, plus the value of LTIP units acquired on vesting multiplied by $8.51 per unit, which was the fair value of LTIP units vesting in the current year related to the March 11, 2024 grant.</w:t>
      </w:r>
    </w:p>
    <w:p>
      <w:pPr>
        <w:ind w:left="180" w:right="160" w:hanging="172"/>
        <w:spacing w:after="0" w:line="223" w:lineRule="auto"/>
        <w:tabs>
          <w:tab w:leader="none" w:pos="140" w:val="left"/>
        </w:tabs>
        <w:numPr>
          <w:ilvl w:val="0"/>
          <w:numId w:val="82"/>
        </w:numPr>
        <w:rPr>
          <w:rFonts w:ascii="Arial" w:cs="Arial" w:eastAsia="Arial" w:hAnsi="Arial"/>
          <w:sz w:val="16"/>
          <w:szCs w:val="16"/>
          <w:color w:val="3E474E"/>
          <w:vertAlign w:val="superscript"/>
        </w:rPr>
      </w:pPr>
      <w:r>
        <w:rPr>
          <w:rFonts w:ascii="Arial" w:cs="Arial" w:eastAsia="Arial" w:hAnsi="Arial"/>
          <w:sz w:val="13"/>
          <w:szCs w:val="13"/>
          <w:color w:val="3E474E"/>
        </w:rPr>
        <w:t>Pursuant to the Separation Agreement, the Company accelerated the vesting of an aggregate of 25,136 unvested shares of restricted stock and 12,346 unvested Time-Based LTIP Units held by Mr. Apperson. Accelerated shares and LTIP units fair value up on vesting was 6.97.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52</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747C83"/>
        </w:rPr>
        <w:t>Compensation Table and Narratives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478A3"/>
        </w:rPr>
        <w:t>Potential Payments Upon Termination or Change in Control</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SEVERANCE BENEFITS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57AED5"/>
        </w:rPr>
        <w:t>Severance Plan</w:t>
      </w:r>
    </w:p>
    <w:p>
      <w:pPr>
        <w:spacing w:after="0" w:line="21"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3E474E"/>
        </w:rPr>
        <w:t>We do not have employment or severance agreements with our named executive officers. However, our Operating Partnership maintains our Severance Plan, in which our named executive officers, in their capacity as employees of our Operating Partnership, participate.</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6"/>
          <w:szCs w:val="16"/>
          <w:color w:val="3E474E"/>
        </w:rPr>
        <w:t>Participation in the Severance Plan is limited to employees of our Operating Partnership and its affiliates who are members of a select group of management and who are selected to participate in the Severance Plan by our Board of Directors or by a committee thereof. A Severance Plan participant is entitled to receive benefits thereunder only if the participant’s employment is terminated by his or her employer for a reason other than “Cause” or the participant resigns with “Good Reason.” The Severance Plan defines the term “Cause” as (i) a participant’s willful failure or refusal to perform specific written directives that are consistent with the scope and nature of the participant’s duties, (ii) a conviction of, or plea of guilty or nolo contendere to, a felony, (iii) any act of dishonesty which results in a material unjust gain to the participant at the expense of his or her employer, (iv) any act of a participant involving moral turpitude which materially and adversely affects the business of his or her employer, (v) a material breach of the restrictive covenants set forth in the Severance Plan or (vi) a failure to perform a material duty or a material breach of an obligation to his or her employer or a material breach of a written policy of his or her employer other than due to mental or physical illness or injury. The Severance Plan defines the term “Good Reason” as (i) a material breach by the Company or an affiliate of the Company of a written agreement between the participant and the Company or an affiliate of the Company, (ii) a material reduction in the nature or scope of the participant’s title, authority, powers, functions, duties, or responsibilities, (iii) a material reduction in the participant’s base salary or bonus opportunity (other than a reduction for Cause or a reduction related to a general reduction that affects similarly situated individuals in a comparable manner) or (iv) a requirement that the participant, without his or her consent, change his or her principal office to a location that is more than fifty miles from the participant’s then-current principal office.</w:t>
      </w:r>
    </w:p>
    <w:p>
      <w:pPr>
        <w:spacing w:after="0" w:line="195"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3E474E"/>
        </w:rPr>
        <w:t>The benefits payable to a Severance Plan participant who is terminated without Cause or resigns with Good Reason will be (i) payment of accrued but unpaid salary, bonus, and vacation pay, (ii) a pro-rated amount of the participant’s “target” bonus for the year of termination, (iii) a multiple of the sum of the participant’s annual salary and “target” bonus for the year of termination, (iv) a multiple of the annual COBRA premium for the participant’s health plan coverage and (v) a multiple of the annual employer premium for the participant’s life insurance, long-term disability insurance, and accidental death and dismemberment insurance. The Severance Plan provides three levels of benefits: Tier I, Tier II, and Tier III. If a “target” level of bonus is not established for a participant, then the “target” will be 75%, 50% or 25% of base salary for Tier I, Tier II, and Tier III participants, respectively.</w:t>
      </w:r>
    </w:p>
    <w:p>
      <w:pPr>
        <w:spacing w:after="0" w:line="23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3E474E"/>
        </w:rPr>
        <w:t>The Severance Plan includes different benefits for covered terminations within ninety days before or within one year after we experience a change in control (which is defined in the Severance Plan in the same terms as in the Equity Incentive Plan) (the "Change of Control Window"). In addition, the Severance Plan provides that all equity awards granted under the Equity Incentive Plan that are subject to performance-based vesting conditions accelerate and become vested upon a change in control, with the applicable performance criteria being deemed satisfied at the greater of target or actual performance levels.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3E474E"/>
        </w:rPr>
        <w:t>The Severance Plan provides for three levels of multiples, as described above:</w:t>
      </w:r>
    </w:p>
    <w:p>
      <w:pPr>
        <w:spacing w:after="0" w:line="248"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6"/>
          <w:szCs w:val="16"/>
          <w:b w:val="1"/>
          <w:bCs w:val="1"/>
          <w:color w:val="3E474E"/>
        </w:rPr>
      </w:pPr>
      <w:r>
        <w:rPr>
          <w:rFonts w:ascii="Arial" w:cs="Arial" w:eastAsia="Arial" w:hAnsi="Arial"/>
          <w:sz w:val="16"/>
          <w:szCs w:val="16"/>
          <w:b w:val="1"/>
          <w:bCs w:val="1"/>
          <w:color w:val="3E474E"/>
        </w:rPr>
        <w:t>Participants who are designated as Tier I are assigned a multiple of 3x (whether within or outside the Change of Control Window),</w:t>
      </w:r>
    </w:p>
    <w:p>
      <w:pPr>
        <w:spacing w:after="0" w:line="72" w:lineRule="exact"/>
        <w:rPr>
          <w:rFonts w:ascii="Arial" w:cs="Arial" w:eastAsia="Arial" w:hAnsi="Arial"/>
          <w:sz w:val="16"/>
          <w:szCs w:val="16"/>
          <w:b w:val="1"/>
          <w:bCs w:val="1"/>
          <w:color w:val="3E474E"/>
        </w:rPr>
      </w:pPr>
    </w:p>
    <w:p>
      <w:pPr>
        <w:ind w:left="240" w:right="220" w:hanging="232"/>
        <w:spacing w:after="0" w:line="281" w:lineRule="auto"/>
        <w:tabs>
          <w:tab w:leader="none" w:pos="191" w:val="left"/>
        </w:tabs>
        <w:numPr>
          <w:ilvl w:val="0"/>
          <w:numId w:val="83"/>
        </w:numPr>
        <w:rPr>
          <w:rFonts w:ascii="Arial" w:cs="Arial" w:eastAsia="Arial" w:hAnsi="Arial"/>
          <w:sz w:val="16"/>
          <w:szCs w:val="16"/>
          <w:b w:val="1"/>
          <w:bCs w:val="1"/>
          <w:color w:val="3E474E"/>
        </w:rPr>
      </w:pPr>
      <w:r>
        <w:rPr>
          <w:rFonts w:ascii="Arial" w:cs="Arial" w:eastAsia="Arial" w:hAnsi="Arial"/>
          <w:sz w:val="16"/>
          <w:szCs w:val="16"/>
          <w:b w:val="1"/>
          <w:bCs w:val="1"/>
          <w:color w:val="3E474E"/>
        </w:rPr>
        <w:t>Participants who are designated as Tier II are assigned a multiple of 2.5x within the Change of Control Window and 2x outside the Change of Control Window, and</w:t>
      </w:r>
    </w:p>
    <w:p>
      <w:pPr>
        <w:spacing w:after="0" w:line="1" w:lineRule="exact"/>
        <w:rPr>
          <w:rFonts w:ascii="Arial" w:cs="Arial" w:eastAsia="Arial" w:hAnsi="Arial"/>
          <w:sz w:val="16"/>
          <w:szCs w:val="16"/>
          <w:b w:val="1"/>
          <w:bCs w:val="1"/>
          <w:color w:val="3E474E"/>
        </w:rPr>
      </w:pPr>
    </w:p>
    <w:p>
      <w:pPr>
        <w:ind w:left="240" w:right="140" w:hanging="232"/>
        <w:spacing w:after="0" w:line="314" w:lineRule="auto"/>
        <w:tabs>
          <w:tab w:leader="none" w:pos="191" w:val="left"/>
        </w:tabs>
        <w:numPr>
          <w:ilvl w:val="0"/>
          <w:numId w:val="83"/>
        </w:numPr>
        <w:rPr>
          <w:rFonts w:ascii="Arial" w:cs="Arial" w:eastAsia="Arial" w:hAnsi="Arial"/>
          <w:sz w:val="16"/>
          <w:szCs w:val="16"/>
          <w:b w:val="1"/>
          <w:bCs w:val="1"/>
          <w:color w:val="3E474E"/>
        </w:rPr>
      </w:pPr>
      <w:r>
        <w:rPr>
          <w:rFonts w:ascii="Arial" w:cs="Arial" w:eastAsia="Arial" w:hAnsi="Arial"/>
          <w:sz w:val="16"/>
          <w:szCs w:val="16"/>
          <w:b w:val="1"/>
          <w:bCs w:val="1"/>
          <w:color w:val="3E474E"/>
        </w:rPr>
        <w:t>Participants who are designated as Tier III are assigned a multiple of 1.5x within the Change of Control Window, and 1x outside the Change of Control Window.</w:t>
      </w:r>
    </w:p>
    <w:p>
      <w:pPr>
        <w:spacing w:after="0" w:line="20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3E474E"/>
        </w:rPr>
        <w:t>As of December 31, 2025, the Severance Plan benefit level for each of Messrs. Tibbetts and Barnes-Smith was Tier I and Tier II, respectively. The committee that we appoint to administer the Severance Plan or we (in our capacity as the general partner of our Operating Partnership) determines which employees participate in the Severance Plan and each participant’s multiple.</w:t>
      </w:r>
    </w:p>
    <w:p>
      <w:pPr>
        <w:spacing w:after="0" w:line="19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3E474E"/>
        </w:rPr>
        <w:t>No benefits will be paid under the Severance Plan unless the participant signs a release, in a form provided by our Operating Partnership, releasing us and our Operating Partnership and such other parties as are named in the release from any claims that the participant may have.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3E474E"/>
        </w:rPr>
        <w:t>As a condition of participation in the Severance Plan, each participant agrees to comply with the following covenants:</w:t>
      </w:r>
    </w:p>
    <w:p>
      <w:pPr>
        <w:spacing w:after="0" w:line="248" w:lineRule="exact"/>
        <w:rPr>
          <w:sz w:val="20"/>
          <w:szCs w:val="20"/>
          <w:color w:val="auto"/>
        </w:rPr>
      </w:pPr>
    </w:p>
    <w:p>
      <w:pPr>
        <w:ind w:left="240" w:right="120" w:hanging="232"/>
        <w:spacing w:after="0" w:line="314" w:lineRule="auto"/>
        <w:tabs>
          <w:tab w:leader="none" w:pos="191" w:val="left"/>
        </w:tabs>
        <w:numPr>
          <w:ilvl w:val="0"/>
          <w:numId w:val="84"/>
        </w:numPr>
        <w:rPr>
          <w:rFonts w:ascii="Arial" w:cs="Arial" w:eastAsia="Arial" w:hAnsi="Arial"/>
          <w:sz w:val="16"/>
          <w:szCs w:val="16"/>
          <w:b w:val="1"/>
          <w:bCs w:val="1"/>
          <w:color w:val="3E474E"/>
        </w:rPr>
      </w:pPr>
      <w:r>
        <w:rPr>
          <w:rFonts w:ascii="Arial" w:cs="Arial" w:eastAsia="Arial" w:hAnsi="Arial"/>
          <w:sz w:val="16"/>
          <w:szCs w:val="16"/>
          <w:b w:val="1"/>
          <w:bCs w:val="1"/>
          <w:color w:val="3E474E"/>
        </w:rPr>
        <w:t>a covenant against competition and non-solicitation of employees and clients during employment and for one year after employment ends for any reason;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612140</wp:posOffset>
            </wp:positionV>
            <wp:extent cx="8255"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612140</wp:posOffset>
            </wp:positionV>
            <wp:extent cx="8255"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53</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color w:val="747C83"/>
        </w:rPr>
        <w:t>Compensation Table and Narratives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3E474E"/>
        </w:rPr>
        <w:t>•  a covenant against disclosure of confidential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57AED5"/>
        </w:rPr>
        <w:t>Separation Agreement with Mr. Apperson</w:t>
      </w:r>
    </w:p>
    <w:p>
      <w:pPr>
        <w:spacing w:after="0" w:line="26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3E474E"/>
        </w:rPr>
        <w:t>Prior to the termination of Mr. Apperson’s employment with the Company in May 2025, Mr. Apperson was a participant under the Severance Plan and his benefit level was Tier II. Pursuant to his Separation Agreement dated May 23, 2025, in exchange for a release of claims against the Company, Mr. Apperson received severance payments and other benefits consistent with the Tier II payments and benefits under the Severance Plan. In addition, pursuant to the Separation Agreement, the Company accelerated the vesting of an aggregate of 25,136 unvested shares of restricted stock and 12,346 unvested Time-Based LTIP Units held by Mr. Apperson.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EQUITY ACCELERATION</w:t>
      </w:r>
    </w:p>
    <w:p>
      <w:pPr>
        <w:spacing w:after="0" w:line="100" w:lineRule="exact"/>
        <w:rPr>
          <w:sz w:val="20"/>
          <w:szCs w:val="20"/>
          <w:color w:val="auto"/>
        </w:rPr>
      </w:pPr>
    </w:p>
    <w:p>
      <w:pPr>
        <w:spacing w:after="0" w:line="247" w:lineRule="auto"/>
        <w:rPr>
          <w:sz w:val="20"/>
          <w:szCs w:val="20"/>
          <w:color w:val="auto"/>
        </w:rPr>
      </w:pPr>
      <w:r>
        <w:rPr>
          <w:rFonts w:ascii="Arial" w:cs="Arial" w:eastAsia="Arial" w:hAnsi="Arial"/>
          <w:sz w:val="16"/>
          <w:szCs w:val="16"/>
          <w:color w:val="3E474E"/>
        </w:rPr>
        <w:t>The Executive Stock Award Agreement, Restricted LTIP Unit Award Agreement, Time-Based LTIP Unit Award Agreement, and Performance LTIP Unit Award Agreement (the “Award Agreements”), which govern the awards granted in accordance with the Equity Incentive Plan, provide for acceleration in connection with a termination of employment, resignation, or a change of control. Participation in the Award Agreement is limited to employees or officers of our Operating Partnership and its affiliates and individuals who provide significant services to the Company or its affiliates. Each of the Award Agreements has been included as an exhibit to the Company's most recently-filed Form 10-K pursuant to Item 601(b) of Regulation 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3E474E"/>
        </w:rPr>
        <w:t>For purposes of the table below, except as noted below, we have made the following assumptions where applicable:</w:t>
      </w:r>
    </w:p>
    <w:p>
      <w:pPr>
        <w:spacing w:after="0" w:line="316"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6"/>
          <w:szCs w:val="16"/>
          <w:color w:val="3E474E"/>
        </w:rPr>
      </w:pPr>
      <w:r>
        <w:rPr>
          <w:rFonts w:ascii="Arial" w:cs="Arial" w:eastAsia="Arial" w:hAnsi="Arial"/>
          <w:sz w:val="16"/>
          <w:szCs w:val="16"/>
          <w:color w:val="3E474E"/>
        </w:rPr>
        <w:t>The date of termination is December 31, 2025;</w:t>
      </w:r>
    </w:p>
    <w:p>
      <w:pPr>
        <w:spacing w:after="0" w:line="59" w:lineRule="exact"/>
        <w:rPr>
          <w:rFonts w:ascii="Arial" w:cs="Arial" w:eastAsia="Arial" w:hAnsi="Arial"/>
          <w:sz w:val="16"/>
          <w:szCs w:val="16"/>
          <w:color w:val="3E474E"/>
        </w:rPr>
      </w:pPr>
    </w:p>
    <w:p>
      <w:pPr>
        <w:ind w:left="180" w:hanging="172"/>
        <w:spacing w:after="0"/>
        <w:tabs>
          <w:tab w:leader="none" w:pos="180" w:val="left"/>
        </w:tabs>
        <w:numPr>
          <w:ilvl w:val="0"/>
          <w:numId w:val="85"/>
        </w:numPr>
        <w:rPr>
          <w:rFonts w:ascii="Arial" w:cs="Arial" w:eastAsia="Arial" w:hAnsi="Arial"/>
          <w:sz w:val="16"/>
          <w:szCs w:val="16"/>
          <w:color w:val="3E474E"/>
        </w:rPr>
      </w:pPr>
      <w:r>
        <w:rPr>
          <w:rFonts w:ascii="Arial" w:cs="Arial" w:eastAsia="Arial" w:hAnsi="Arial"/>
          <w:sz w:val="16"/>
          <w:szCs w:val="16"/>
          <w:color w:val="3E474E"/>
        </w:rPr>
        <w:t>The benefit level was the named executive officer’s benefit level on December 31, 2025;</w:t>
      </w:r>
    </w:p>
    <w:p>
      <w:pPr>
        <w:spacing w:after="0" w:line="21" w:lineRule="exact"/>
        <w:rPr>
          <w:rFonts w:ascii="Arial" w:cs="Arial" w:eastAsia="Arial" w:hAnsi="Arial"/>
          <w:sz w:val="16"/>
          <w:szCs w:val="16"/>
          <w:color w:val="3E474E"/>
        </w:rPr>
      </w:pPr>
    </w:p>
    <w:p>
      <w:pPr>
        <w:ind w:left="180" w:hanging="172"/>
        <w:spacing w:after="0"/>
        <w:tabs>
          <w:tab w:leader="none" w:pos="180" w:val="left"/>
        </w:tabs>
        <w:numPr>
          <w:ilvl w:val="0"/>
          <w:numId w:val="85"/>
        </w:numPr>
        <w:rPr>
          <w:rFonts w:ascii="Arial" w:cs="Arial" w:eastAsia="Arial" w:hAnsi="Arial"/>
          <w:sz w:val="16"/>
          <w:szCs w:val="16"/>
          <w:color w:val="3E474E"/>
        </w:rPr>
      </w:pPr>
      <w:r>
        <w:rPr>
          <w:rFonts w:ascii="Arial" w:cs="Arial" w:eastAsia="Arial" w:hAnsi="Arial"/>
          <w:sz w:val="16"/>
          <w:szCs w:val="16"/>
          <w:color w:val="3E474E"/>
        </w:rPr>
        <w:t>The payments are based on the terms of the Severance Plan and the applicable award agreements governing unvested equity awards;</w:t>
      </w:r>
    </w:p>
    <w:p>
      <w:pPr>
        <w:spacing w:after="0" w:line="56" w:lineRule="exact"/>
        <w:rPr>
          <w:rFonts w:ascii="Arial" w:cs="Arial" w:eastAsia="Arial" w:hAnsi="Arial"/>
          <w:sz w:val="16"/>
          <w:szCs w:val="16"/>
          <w:color w:val="3E474E"/>
        </w:rPr>
      </w:pPr>
    </w:p>
    <w:p>
      <w:pPr>
        <w:ind w:left="180" w:hanging="172"/>
        <w:spacing w:after="0"/>
        <w:tabs>
          <w:tab w:leader="none" w:pos="180" w:val="left"/>
        </w:tabs>
        <w:numPr>
          <w:ilvl w:val="0"/>
          <w:numId w:val="85"/>
        </w:numPr>
        <w:rPr>
          <w:rFonts w:ascii="Arial" w:cs="Arial" w:eastAsia="Arial" w:hAnsi="Arial"/>
          <w:sz w:val="16"/>
          <w:szCs w:val="16"/>
          <w:color w:val="3E474E"/>
        </w:rPr>
      </w:pPr>
      <w:r>
        <w:rPr>
          <w:rFonts w:ascii="Arial" w:cs="Arial" w:eastAsia="Arial" w:hAnsi="Arial"/>
          <w:sz w:val="16"/>
          <w:szCs w:val="16"/>
          <w:color w:val="3E474E"/>
        </w:rPr>
        <w:t>There is no earned, accrued but unpaid salary;</w:t>
      </w:r>
    </w:p>
    <w:p>
      <w:pPr>
        <w:spacing w:after="0" w:line="59" w:lineRule="exact"/>
        <w:rPr>
          <w:rFonts w:ascii="Arial" w:cs="Arial" w:eastAsia="Arial" w:hAnsi="Arial"/>
          <w:sz w:val="16"/>
          <w:szCs w:val="16"/>
          <w:color w:val="3E474E"/>
        </w:rPr>
      </w:pPr>
    </w:p>
    <w:p>
      <w:pPr>
        <w:ind w:left="180" w:hanging="172"/>
        <w:spacing w:after="0"/>
        <w:tabs>
          <w:tab w:leader="none" w:pos="180" w:val="left"/>
        </w:tabs>
        <w:numPr>
          <w:ilvl w:val="0"/>
          <w:numId w:val="85"/>
        </w:numPr>
        <w:rPr>
          <w:rFonts w:ascii="Arial" w:cs="Arial" w:eastAsia="Arial" w:hAnsi="Arial"/>
          <w:sz w:val="16"/>
          <w:szCs w:val="16"/>
          <w:color w:val="3E474E"/>
        </w:rPr>
      </w:pPr>
      <w:r>
        <w:rPr>
          <w:rFonts w:ascii="Arial" w:cs="Arial" w:eastAsia="Arial" w:hAnsi="Arial"/>
          <w:sz w:val="16"/>
          <w:szCs w:val="16"/>
          <w:color w:val="3E474E"/>
        </w:rPr>
        <w:t>There is no earned, accrued but unpaid bonus for the prior year; and</w:t>
      </w:r>
    </w:p>
    <w:p>
      <w:pPr>
        <w:spacing w:after="0" w:line="72" w:lineRule="exact"/>
        <w:rPr>
          <w:rFonts w:ascii="Arial" w:cs="Arial" w:eastAsia="Arial" w:hAnsi="Arial"/>
          <w:sz w:val="16"/>
          <w:szCs w:val="16"/>
          <w:color w:val="3E474E"/>
        </w:rPr>
      </w:pPr>
    </w:p>
    <w:p>
      <w:pPr>
        <w:ind w:left="240" w:right="200" w:hanging="232"/>
        <w:spacing w:after="0" w:line="281" w:lineRule="auto"/>
        <w:tabs>
          <w:tab w:leader="none" w:pos="191" w:val="left"/>
        </w:tabs>
        <w:numPr>
          <w:ilvl w:val="0"/>
          <w:numId w:val="85"/>
        </w:numPr>
        <w:rPr>
          <w:rFonts w:ascii="Arial" w:cs="Arial" w:eastAsia="Arial" w:hAnsi="Arial"/>
          <w:sz w:val="16"/>
          <w:szCs w:val="16"/>
          <w:color w:val="3E474E"/>
        </w:rPr>
      </w:pPr>
      <w:r>
        <w:rPr>
          <w:rFonts w:ascii="Arial" w:cs="Arial" w:eastAsia="Arial" w:hAnsi="Arial"/>
          <w:sz w:val="16"/>
          <w:szCs w:val="16"/>
          <w:color w:val="3E474E"/>
        </w:rPr>
        <w:t>The premiums for the NEOs' health plan coverage, life insurance, long-term disability insurance, and accidental death and dismemberment insurance is constant throughout the year.</w:t>
      </w:r>
    </w:p>
    <w:p>
      <w:pPr>
        <w:spacing w:after="0" w:line="1" w:lineRule="exact"/>
        <w:rPr>
          <w:rFonts w:ascii="Arial" w:cs="Arial" w:eastAsia="Arial" w:hAnsi="Arial"/>
          <w:sz w:val="16"/>
          <w:szCs w:val="16"/>
          <w:color w:val="3E474E"/>
        </w:rPr>
      </w:pPr>
    </w:p>
    <w:p>
      <w:pPr>
        <w:ind w:left="240" w:right="160" w:hanging="232"/>
        <w:spacing w:after="0" w:line="290" w:lineRule="auto"/>
        <w:tabs>
          <w:tab w:leader="none" w:pos="191" w:val="left"/>
        </w:tabs>
        <w:numPr>
          <w:ilvl w:val="0"/>
          <w:numId w:val="85"/>
        </w:numPr>
        <w:rPr>
          <w:rFonts w:ascii="Arial" w:cs="Arial" w:eastAsia="Arial" w:hAnsi="Arial"/>
          <w:sz w:val="16"/>
          <w:szCs w:val="16"/>
          <w:b w:val="1"/>
          <w:bCs w:val="1"/>
          <w:color w:val="3E474E"/>
        </w:rPr>
      </w:pPr>
      <w:r>
        <w:rPr>
          <w:rFonts w:ascii="Arial" w:cs="Arial" w:eastAsia="Arial" w:hAnsi="Arial"/>
          <w:sz w:val="16"/>
          <w:szCs w:val="16"/>
          <w:color w:val="3E474E"/>
        </w:rPr>
        <w:t>Scenario 1 reflects termination without Cause or resignation for Good Reason more than 90 days prior to the occurrence of a Change of Control or more than one year after the occurrence of a Change of Control.</w:t>
      </w:r>
    </w:p>
    <w:p>
      <w:pPr>
        <w:ind w:left="240" w:right="120" w:hanging="232"/>
        <w:spacing w:after="0" w:line="290" w:lineRule="auto"/>
        <w:tabs>
          <w:tab w:leader="none" w:pos="191" w:val="left"/>
        </w:tabs>
        <w:numPr>
          <w:ilvl w:val="0"/>
          <w:numId w:val="85"/>
        </w:numPr>
        <w:rPr>
          <w:rFonts w:ascii="Arial" w:cs="Arial" w:eastAsia="Arial" w:hAnsi="Arial"/>
          <w:sz w:val="16"/>
          <w:szCs w:val="16"/>
          <w:b w:val="1"/>
          <w:bCs w:val="1"/>
          <w:color w:val="3E474E"/>
        </w:rPr>
      </w:pPr>
      <w:r>
        <w:rPr>
          <w:rFonts w:ascii="Arial" w:cs="Arial" w:eastAsia="Arial" w:hAnsi="Arial"/>
          <w:sz w:val="16"/>
          <w:szCs w:val="16"/>
          <w:color w:val="3E474E"/>
        </w:rPr>
        <w:t>Scenario 2 reflects termination without Cause or resignation for Good Reason within 90 days prior to the occurrence of a Change of Control or within one year after the occurrence of a Change of Control</w:t>
      </w:r>
    </w:p>
    <w:p>
      <w:pPr>
        <w:ind w:left="180" w:hanging="172"/>
        <w:spacing w:after="0"/>
        <w:tabs>
          <w:tab w:leader="none" w:pos="180" w:val="left"/>
        </w:tabs>
        <w:numPr>
          <w:ilvl w:val="0"/>
          <w:numId w:val="85"/>
        </w:numPr>
        <w:rPr>
          <w:rFonts w:ascii="Arial" w:cs="Arial" w:eastAsia="Arial" w:hAnsi="Arial"/>
          <w:sz w:val="16"/>
          <w:szCs w:val="16"/>
          <w:color w:val="3E474E"/>
        </w:rPr>
      </w:pPr>
      <w:r>
        <w:rPr>
          <w:rFonts w:ascii="Arial" w:cs="Arial" w:eastAsia="Arial" w:hAnsi="Arial"/>
          <w:sz w:val="16"/>
          <w:szCs w:val="16"/>
          <w:color w:val="3E474E"/>
        </w:rPr>
        <w:t>Scenario 3 reflects termination for Cause or resignation without Good Reason.</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0" w:type="dxa"/>
            <w:vAlign w:val="bottom"/>
            <w:shd w:val="clear" w:color="auto" w:fill="E3EAEE"/>
          </w:tcPr>
          <w:p>
            <w:pPr>
              <w:spacing w:after="0"/>
              <w:rPr>
                <w:sz w:val="17"/>
                <w:szCs w:val="17"/>
                <w:color w:val="auto"/>
              </w:rPr>
            </w:pPr>
          </w:p>
        </w:tc>
        <w:tc>
          <w:tcPr>
            <w:tcW w:w="360" w:type="dxa"/>
            <w:vAlign w:val="bottom"/>
            <w:shd w:val="clear" w:color="auto" w:fill="E3EAEE"/>
          </w:tcPr>
          <w:p>
            <w:pPr>
              <w:spacing w:after="0"/>
              <w:rPr>
                <w:sz w:val="17"/>
                <w:szCs w:val="17"/>
                <w:color w:val="auto"/>
              </w:rPr>
            </w:pPr>
          </w:p>
        </w:tc>
        <w:tc>
          <w:tcPr>
            <w:tcW w:w="120" w:type="dxa"/>
            <w:vAlign w:val="bottom"/>
            <w:shd w:val="clear" w:color="auto" w:fill="E3EAEE"/>
          </w:tcPr>
          <w:p>
            <w:pPr>
              <w:spacing w:after="0"/>
              <w:rPr>
                <w:sz w:val="17"/>
                <w:szCs w:val="17"/>
                <w:color w:val="auto"/>
              </w:rPr>
            </w:pPr>
          </w:p>
        </w:tc>
        <w:tc>
          <w:tcPr>
            <w:tcW w:w="3280" w:type="dxa"/>
            <w:vAlign w:val="bottom"/>
            <w:shd w:val="clear" w:color="auto" w:fill="E3EAEE"/>
          </w:tcPr>
          <w:p>
            <w:pPr>
              <w:spacing w:after="0"/>
              <w:rPr>
                <w:sz w:val="17"/>
                <w:szCs w:val="17"/>
                <w:color w:val="auto"/>
              </w:rPr>
            </w:pPr>
          </w:p>
        </w:tc>
        <w:tc>
          <w:tcPr>
            <w:tcW w:w="120" w:type="dxa"/>
            <w:vAlign w:val="bottom"/>
            <w:shd w:val="clear" w:color="auto" w:fill="E3EAEE"/>
          </w:tcPr>
          <w:p>
            <w:pPr>
              <w:spacing w:after="0"/>
              <w:rPr>
                <w:sz w:val="17"/>
                <w:szCs w:val="17"/>
                <w:color w:val="auto"/>
              </w:rPr>
            </w:pPr>
          </w:p>
        </w:tc>
        <w:tc>
          <w:tcPr>
            <w:tcW w:w="110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Scenario 1</w:t>
            </w:r>
          </w:p>
        </w:tc>
        <w:tc>
          <w:tcPr>
            <w:tcW w:w="360" w:type="dxa"/>
            <w:vAlign w:val="bottom"/>
            <w:shd w:val="clear" w:color="auto" w:fill="E3EAEE"/>
          </w:tcPr>
          <w:p>
            <w:pPr>
              <w:spacing w:after="0"/>
              <w:rPr>
                <w:sz w:val="17"/>
                <w:szCs w:val="17"/>
                <w:color w:val="auto"/>
              </w:rPr>
            </w:pPr>
          </w:p>
        </w:tc>
        <w:tc>
          <w:tcPr>
            <w:tcW w:w="104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Scenario 2</w:t>
            </w:r>
          </w:p>
        </w:tc>
        <w:tc>
          <w:tcPr>
            <w:tcW w:w="240" w:type="dxa"/>
            <w:vAlign w:val="bottom"/>
            <w:shd w:val="clear" w:color="auto" w:fill="E3EAEE"/>
          </w:tcPr>
          <w:p>
            <w:pPr>
              <w:spacing w:after="0"/>
              <w:rPr>
                <w:sz w:val="17"/>
                <w:szCs w:val="17"/>
                <w:color w:val="auto"/>
              </w:rPr>
            </w:pPr>
          </w:p>
        </w:tc>
        <w:tc>
          <w:tcPr>
            <w:tcW w:w="1300" w:type="dxa"/>
            <w:vAlign w:val="bottom"/>
            <w:shd w:val="clear" w:color="auto" w:fill="E3EAEE"/>
          </w:tcPr>
          <w:p>
            <w:pPr>
              <w:spacing w:after="0"/>
              <w:rPr>
                <w:sz w:val="17"/>
                <w:szCs w:val="17"/>
                <w:color w:val="auto"/>
              </w:rPr>
            </w:pPr>
          </w:p>
        </w:tc>
        <w:tc>
          <w:tcPr>
            <w:tcW w:w="1200" w:type="dxa"/>
            <w:vAlign w:val="bottom"/>
            <w:shd w:val="clear" w:color="auto" w:fill="E3EAEE"/>
          </w:tcPr>
          <w:p>
            <w:pPr>
              <w:jc w:val="right"/>
              <w:ind w:right="199"/>
              <w:spacing w:after="0"/>
              <w:rPr>
                <w:sz w:val="20"/>
                <w:szCs w:val="20"/>
                <w:color w:val="auto"/>
              </w:rPr>
            </w:pPr>
            <w:r>
              <w:rPr>
                <w:rFonts w:ascii="Arial" w:cs="Arial" w:eastAsia="Arial" w:hAnsi="Arial"/>
                <w:sz w:val="16"/>
                <w:szCs w:val="16"/>
                <w:b w:val="1"/>
                <w:bCs w:val="1"/>
                <w:color w:val="1478A3"/>
              </w:rPr>
              <w:t>Death</w:t>
            </w:r>
          </w:p>
        </w:tc>
        <w:tc>
          <w:tcPr>
            <w:tcW w:w="1080" w:type="dxa"/>
            <w:vAlign w:val="bottom"/>
            <w:shd w:val="clear" w:color="auto" w:fill="E3EAEE"/>
          </w:tcPr>
          <w:p>
            <w:pPr>
              <w:jc w:val="right"/>
              <w:ind w:right="19"/>
              <w:spacing w:after="0"/>
              <w:rPr>
                <w:sz w:val="20"/>
                <w:szCs w:val="20"/>
                <w:color w:val="auto"/>
              </w:rPr>
            </w:pPr>
            <w:r>
              <w:rPr>
                <w:rFonts w:ascii="Arial" w:cs="Arial" w:eastAsia="Arial" w:hAnsi="Arial"/>
                <w:sz w:val="16"/>
                <w:szCs w:val="16"/>
                <w:b w:val="1"/>
                <w:bCs w:val="1"/>
                <w:color w:val="1478A3"/>
              </w:rPr>
              <w:t>Disability</w:t>
            </w:r>
          </w:p>
        </w:tc>
        <w:tc>
          <w:tcPr>
            <w:tcW w:w="0" w:type="dxa"/>
            <w:vAlign w:val="bottom"/>
          </w:tcPr>
          <w:p>
            <w:pPr>
              <w:spacing w:after="0"/>
              <w:rPr>
                <w:sz w:val="1"/>
                <w:szCs w:val="1"/>
                <w:color w:val="auto"/>
              </w:rPr>
            </w:pPr>
          </w:p>
        </w:tc>
      </w:tr>
      <w:tr>
        <w:trPr>
          <w:trHeight w:val="236"/>
        </w:trPr>
        <w:tc>
          <w:tcPr>
            <w:tcW w:w="900" w:type="dxa"/>
            <w:vAlign w:val="bottom"/>
            <w:shd w:val="clear" w:color="auto" w:fill="E3EAEE"/>
          </w:tcPr>
          <w:p>
            <w:pPr>
              <w:ind w:left="140"/>
              <w:spacing w:after="0"/>
              <w:rPr>
                <w:sz w:val="20"/>
                <w:szCs w:val="20"/>
                <w:color w:val="auto"/>
              </w:rPr>
            </w:pPr>
            <w:r>
              <w:rPr>
                <w:rFonts w:ascii="Arial" w:cs="Arial" w:eastAsia="Arial" w:hAnsi="Arial"/>
                <w:sz w:val="16"/>
                <w:szCs w:val="16"/>
                <w:b w:val="1"/>
                <w:bCs w:val="1"/>
                <w:color w:val="1478A3"/>
              </w:rPr>
              <w:t>NEO</w:t>
            </w:r>
          </w:p>
        </w:tc>
        <w:tc>
          <w:tcPr>
            <w:tcW w:w="360" w:type="dxa"/>
            <w:vAlign w:val="bottom"/>
            <w:shd w:val="clear" w:color="auto" w:fill="E3EAEE"/>
          </w:tcPr>
          <w:p>
            <w:pPr>
              <w:spacing w:after="0"/>
              <w:rPr>
                <w:sz w:val="20"/>
                <w:szCs w:val="20"/>
                <w:color w:val="auto"/>
              </w:rPr>
            </w:pPr>
          </w:p>
        </w:tc>
        <w:tc>
          <w:tcPr>
            <w:tcW w:w="120" w:type="dxa"/>
            <w:vAlign w:val="bottom"/>
            <w:shd w:val="clear" w:color="auto" w:fill="E3EAEE"/>
          </w:tcPr>
          <w:p>
            <w:pPr>
              <w:spacing w:after="0"/>
              <w:rPr>
                <w:sz w:val="20"/>
                <w:szCs w:val="20"/>
                <w:color w:val="auto"/>
              </w:rPr>
            </w:pPr>
          </w:p>
        </w:tc>
        <w:tc>
          <w:tcPr>
            <w:tcW w:w="3280" w:type="dxa"/>
            <w:vAlign w:val="bottom"/>
            <w:shd w:val="clear" w:color="auto" w:fill="E3EAEE"/>
          </w:tcPr>
          <w:p>
            <w:pPr>
              <w:jc w:val="center"/>
              <w:spacing w:after="0"/>
              <w:rPr>
                <w:sz w:val="20"/>
                <w:szCs w:val="20"/>
                <w:color w:val="auto"/>
              </w:rPr>
            </w:pPr>
            <w:r>
              <w:rPr>
                <w:rFonts w:ascii="Arial" w:cs="Arial" w:eastAsia="Arial" w:hAnsi="Arial"/>
                <w:sz w:val="16"/>
                <w:szCs w:val="16"/>
                <w:b w:val="1"/>
                <w:bCs w:val="1"/>
                <w:color w:val="1478A3"/>
              </w:rPr>
              <w:t>Benefit</w:t>
            </w:r>
          </w:p>
        </w:tc>
        <w:tc>
          <w:tcPr>
            <w:tcW w:w="1220" w:type="dxa"/>
            <w:vAlign w:val="bottom"/>
            <w:gridSpan w:val="2"/>
            <w:shd w:val="clear" w:color="auto" w:fill="E3EAEE"/>
          </w:tcPr>
          <w:p>
            <w:pPr>
              <w:jc w:val="right"/>
              <w:spacing w:after="0"/>
              <w:rPr>
                <w:sz w:val="20"/>
                <w:szCs w:val="20"/>
                <w:color w:val="auto"/>
              </w:rPr>
            </w:pPr>
            <w:r>
              <w:rPr>
                <w:rFonts w:ascii="Arial" w:cs="Arial" w:eastAsia="Arial" w:hAnsi="Arial"/>
                <w:sz w:val="16"/>
                <w:szCs w:val="16"/>
                <w:b w:val="1"/>
                <w:bCs w:val="1"/>
                <w:color w:val="1478A3"/>
              </w:rPr>
              <w:t>($)</w:t>
            </w:r>
          </w:p>
        </w:tc>
        <w:tc>
          <w:tcPr>
            <w:tcW w:w="360" w:type="dxa"/>
            <w:vAlign w:val="bottom"/>
            <w:shd w:val="clear" w:color="auto" w:fill="E3EAEE"/>
          </w:tcPr>
          <w:p>
            <w:pPr>
              <w:spacing w:after="0"/>
              <w:rPr>
                <w:sz w:val="20"/>
                <w:szCs w:val="20"/>
                <w:color w:val="auto"/>
              </w:rPr>
            </w:pPr>
          </w:p>
        </w:tc>
        <w:tc>
          <w:tcPr>
            <w:tcW w:w="104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w:t>
            </w:r>
          </w:p>
        </w:tc>
        <w:tc>
          <w:tcPr>
            <w:tcW w:w="240" w:type="dxa"/>
            <w:vAlign w:val="bottom"/>
            <w:shd w:val="clear" w:color="auto" w:fill="E3EAEE"/>
          </w:tcPr>
          <w:p>
            <w:pPr>
              <w:spacing w:after="0"/>
              <w:rPr>
                <w:sz w:val="20"/>
                <w:szCs w:val="20"/>
                <w:color w:val="auto"/>
              </w:rPr>
            </w:pPr>
          </w:p>
        </w:tc>
        <w:tc>
          <w:tcPr>
            <w:tcW w:w="1300" w:type="dxa"/>
            <w:vAlign w:val="bottom"/>
            <w:shd w:val="clear" w:color="auto" w:fill="E3EAEE"/>
          </w:tcPr>
          <w:p>
            <w:pPr>
              <w:ind w:left="80"/>
              <w:spacing w:after="0"/>
              <w:rPr>
                <w:sz w:val="20"/>
                <w:szCs w:val="20"/>
                <w:color w:val="auto"/>
              </w:rPr>
            </w:pPr>
            <w:r>
              <w:rPr>
                <w:rFonts w:ascii="Arial" w:cs="Arial" w:eastAsia="Arial" w:hAnsi="Arial"/>
                <w:sz w:val="16"/>
                <w:szCs w:val="16"/>
                <w:b w:val="1"/>
                <w:bCs w:val="1"/>
                <w:color w:val="1478A3"/>
              </w:rPr>
              <w:t>Scenario 3 ($)</w:t>
            </w:r>
          </w:p>
        </w:tc>
        <w:tc>
          <w:tcPr>
            <w:tcW w:w="1200" w:type="dxa"/>
            <w:vAlign w:val="bottom"/>
            <w:shd w:val="clear" w:color="auto" w:fill="E3EAEE"/>
          </w:tcPr>
          <w:p>
            <w:pPr>
              <w:jc w:val="right"/>
              <w:ind w:right="199"/>
              <w:spacing w:after="0"/>
              <w:rPr>
                <w:sz w:val="20"/>
                <w:szCs w:val="20"/>
                <w:color w:val="auto"/>
              </w:rPr>
            </w:pPr>
            <w:r>
              <w:rPr>
                <w:rFonts w:ascii="Arial" w:cs="Arial" w:eastAsia="Arial" w:hAnsi="Arial"/>
                <w:sz w:val="16"/>
                <w:szCs w:val="16"/>
                <w:b w:val="1"/>
                <w:bCs w:val="1"/>
                <w:color w:val="1478A3"/>
              </w:rPr>
              <w:t>($)</w:t>
            </w:r>
          </w:p>
        </w:tc>
        <w:tc>
          <w:tcPr>
            <w:tcW w:w="1080" w:type="dxa"/>
            <w:vAlign w:val="bottom"/>
            <w:shd w:val="clear" w:color="auto" w:fill="E3EAEE"/>
          </w:tcPr>
          <w:p>
            <w:pPr>
              <w:jc w:val="right"/>
              <w:ind w:right="19"/>
              <w:spacing w:after="0"/>
              <w:rPr>
                <w:sz w:val="20"/>
                <w:szCs w:val="20"/>
                <w:color w:val="auto"/>
              </w:rPr>
            </w:pPr>
            <w:r>
              <w:rPr>
                <w:rFonts w:ascii="Arial" w:cs="Arial" w:eastAsia="Arial" w:hAnsi="Arial"/>
                <w:sz w:val="16"/>
                <w:szCs w:val="16"/>
                <w:b w:val="1"/>
                <w:bCs w:val="1"/>
                <w:color w:val="1478A3"/>
              </w:rPr>
              <w:t>($)</w:t>
            </w:r>
          </w:p>
        </w:tc>
        <w:tc>
          <w:tcPr>
            <w:tcW w:w="0" w:type="dxa"/>
            <w:vAlign w:val="bottom"/>
          </w:tcPr>
          <w:p>
            <w:pPr>
              <w:spacing w:after="0"/>
              <w:rPr>
                <w:sz w:val="1"/>
                <w:szCs w:val="1"/>
                <w:color w:val="auto"/>
              </w:rPr>
            </w:pPr>
          </w:p>
        </w:tc>
      </w:tr>
      <w:tr>
        <w:trPr>
          <w:trHeight w:val="62"/>
        </w:trPr>
        <w:tc>
          <w:tcPr>
            <w:tcW w:w="900" w:type="dxa"/>
            <w:vAlign w:val="bottom"/>
            <w:tcBorders>
              <w:bottom w:val="single" w:sz="8" w:color="1478A3"/>
            </w:tcBorders>
            <w:shd w:val="clear" w:color="auto" w:fill="E3EAEE"/>
          </w:tcPr>
          <w:p>
            <w:pPr>
              <w:spacing w:after="0"/>
              <w:rPr>
                <w:sz w:val="5"/>
                <w:szCs w:val="5"/>
                <w:color w:val="auto"/>
              </w:rPr>
            </w:pPr>
          </w:p>
        </w:tc>
        <w:tc>
          <w:tcPr>
            <w:tcW w:w="360" w:type="dxa"/>
            <w:vAlign w:val="bottom"/>
            <w:tcBorders>
              <w:bottom w:val="single" w:sz="8" w:color="1478A3"/>
            </w:tcBorders>
            <w:shd w:val="clear" w:color="auto" w:fill="E3EAEE"/>
          </w:tcPr>
          <w:p>
            <w:pPr>
              <w:spacing w:after="0"/>
              <w:rPr>
                <w:sz w:val="5"/>
                <w:szCs w:val="5"/>
                <w:color w:val="auto"/>
              </w:rPr>
            </w:pPr>
          </w:p>
        </w:tc>
        <w:tc>
          <w:tcPr>
            <w:tcW w:w="120" w:type="dxa"/>
            <w:vAlign w:val="bottom"/>
            <w:tcBorders>
              <w:bottom w:val="single" w:sz="8" w:color="1478A3"/>
            </w:tcBorders>
            <w:shd w:val="clear" w:color="auto" w:fill="E3EAEE"/>
          </w:tcPr>
          <w:p>
            <w:pPr>
              <w:spacing w:after="0"/>
              <w:rPr>
                <w:sz w:val="5"/>
                <w:szCs w:val="5"/>
                <w:color w:val="auto"/>
              </w:rPr>
            </w:pPr>
          </w:p>
        </w:tc>
        <w:tc>
          <w:tcPr>
            <w:tcW w:w="3280" w:type="dxa"/>
            <w:vAlign w:val="bottom"/>
            <w:tcBorders>
              <w:bottom w:val="single" w:sz="8" w:color="1478A3"/>
            </w:tcBorders>
            <w:shd w:val="clear" w:color="auto" w:fill="E3EAEE"/>
          </w:tcPr>
          <w:p>
            <w:pPr>
              <w:spacing w:after="0"/>
              <w:rPr>
                <w:sz w:val="5"/>
                <w:szCs w:val="5"/>
                <w:color w:val="auto"/>
              </w:rPr>
            </w:pPr>
          </w:p>
        </w:tc>
        <w:tc>
          <w:tcPr>
            <w:tcW w:w="120" w:type="dxa"/>
            <w:vAlign w:val="bottom"/>
            <w:tcBorders>
              <w:bottom w:val="single" w:sz="8" w:color="1478A3"/>
            </w:tcBorders>
            <w:shd w:val="clear" w:color="auto" w:fill="E3EAEE"/>
          </w:tcPr>
          <w:p>
            <w:pPr>
              <w:spacing w:after="0"/>
              <w:rPr>
                <w:sz w:val="5"/>
                <w:szCs w:val="5"/>
                <w:color w:val="auto"/>
              </w:rPr>
            </w:pPr>
          </w:p>
        </w:tc>
        <w:tc>
          <w:tcPr>
            <w:tcW w:w="1100" w:type="dxa"/>
            <w:vAlign w:val="bottom"/>
            <w:tcBorders>
              <w:bottom w:val="single" w:sz="8" w:color="1478A3"/>
            </w:tcBorders>
            <w:shd w:val="clear" w:color="auto" w:fill="E3EAEE"/>
          </w:tcPr>
          <w:p>
            <w:pPr>
              <w:spacing w:after="0"/>
              <w:rPr>
                <w:sz w:val="5"/>
                <w:szCs w:val="5"/>
                <w:color w:val="auto"/>
              </w:rPr>
            </w:pPr>
          </w:p>
        </w:tc>
        <w:tc>
          <w:tcPr>
            <w:tcW w:w="360" w:type="dxa"/>
            <w:vAlign w:val="bottom"/>
            <w:tcBorders>
              <w:bottom w:val="single" w:sz="8" w:color="1478A3"/>
            </w:tcBorders>
            <w:shd w:val="clear" w:color="auto" w:fill="E3EAEE"/>
          </w:tcPr>
          <w:p>
            <w:pPr>
              <w:spacing w:after="0"/>
              <w:rPr>
                <w:sz w:val="5"/>
                <w:szCs w:val="5"/>
                <w:color w:val="auto"/>
              </w:rPr>
            </w:pPr>
          </w:p>
        </w:tc>
        <w:tc>
          <w:tcPr>
            <w:tcW w:w="1040" w:type="dxa"/>
            <w:vAlign w:val="bottom"/>
            <w:tcBorders>
              <w:bottom w:val="single" w:sz="8" w:color="1478A3"/>
            </w:tcBorders>
            <w:shd w:val="clear" w:color="auto" w:fill="E3EAEE"/>
          </w:tcPr>
          <w:p>
            <w:pPr>
              <w:spacing w:after="0"/>
              <w:rPr>
                <w:sz w:val="5"/>
                <w:szCs w:val="5"/>
                <w:color w:val="auto"/>
              </w:rPr>
            </w:pPr>
          </w:p>
        </w:tc>
        <w:tc>
          <w:tcPr>
            <w:tcW w:w="240" w:type="dxa"/>
            <w:vAlign w:val="bottom"/>
            <w:tcBorders>
              <w:bottom w:val="single" w:sz="8" w:color="1478A3"/>
            </w:tcBorders>
            <w:shd w:val="clear" w:color="auto" w:fill="E3EAEE"/>
          </w:tcPr>
          <w:p>
            <w:pPr>
              <w:spacing w:after="0"/>
              <w:rPr>
                <w:sz w:val="5"/>
                <w:szCs w:val="5"/>
                <w:color w:val="auto"/>
              </w:rPr>
            </w:pPr>
          </w:p>
        </w:tc>
        <w:tc>
          <w:tcPr>
            <w:tcW w:w="1300" w:type="dxa"/>
            <w:vAlign w:val="bottom"/>
            <w:tcBorders>
              <w:bottom w:val="single" w:sz="8" w:color="1478A3"/>
            </w:tcBorders>
            <w:shd w:val="clear" w:color="auto" w:fill="E3EAEE"/>
          </w:tcPr>
          <w:p>
            <w:pPr>
              <w:spacing w:after="0"/>
              <w:rPr>
                <w:sz w:val="5"/>
                <w:szCs w:val="5"/>
                <w:color w:val="auto"/>
              </w:rPr>
            </w:pPr>
          </w:p>
        </w:tc>
        <w:tc>
          <w:tcPr>
            <w:tcW w:w="1200" w:type="dxa"/>
            <w:vAlign w:val="bottom"/>
            <w:tcBorders>
              <w:bottom w:val="single" w:sz="8" w:color="1478A3"/>
            </w:tcBorders>
            <w:shd w:val="clear" w:color="auto" w:fill="E3EAEE"/>
          </w:tcPr>
          <w:p>
            <w:pPr>
              <w:spacing w:after="0"/>
              <w:rPr>
                <w:sz w:val="5"/>
                <w:szCs w:val="5"/>
                <w:color w:val="auto"/>
              </w:rPr>
            </w:pPr>
          </w:p>
        </w:tc>
        <w:tc>
          <w:tcPr>
            <w:tcW w:w="1080" w:type="dxa"/>
            <w:vAlign w:val="bottom"/>
            <w:tcBorders>
              <w:bottom w:val="single" w:sz="8" w:color="1478A3"/>
            </w:tcBorders>
            <w:shd w:val="clear" w:color="auto" w:fill="E3EAE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900" w:type="dxa"/>
            <w:vAlign w:val="bottom"/>
            <w:tcBorders>
              <w:bottom w:val="single" w:sz="8" w:color="E3EAEE"/>
            </w:tcBorders>
            <w:shd w:val="clear" w:color="auto" w:fill="E3EAEE"/>
          </w:tcPr>
          <w:p>
            <w:pPr>
              <w:ind w:left="180"/>
              <w:spacing w:after="0"/>
              <w:rPr>
                <w:sz w:val="20"/>
                <w:szCs w:val="20"/>
                <w:color w:val="auto"/>
              </w:rPr>
            </w:pPr>
            <w:r>
              <w:rPr>
                <w:rFonts w:ascii="Arial" w:cs="Arial" w:eastAsia="Arial" w:hAnsi="Arial"/>
                <w:sz w:val="16"/>
                <w:szCs w:val="16"/>
                <w:b w:val="1"/>
                <w:bCs w:val="1"/>
                <w:color w:val="3E474E"/>
              </w:rPr>
              <w:t>Shawn J.</w:t>
            </w:r>
          </w:p>
        </w:tc>
        <w:tc>
          <w:tcPr>
            <w:tcW w:w="360" w:type="dxa"/>
            <w:vAlign w:val="bottom"/>
            <w:tcBorders>
              <w:bottom w:val="single" w:sz="8" w:color="E3EAEE"/>
            </w:tcBorders>
            <w:shd w:val="clear" w:color="auto" w:fill="E3EAEE"/>
          </w:tcPr>
          <w:p>
            <w:pPr>
              <w:spacing w:after="0"/>
              <w:rPr>
                <w:sz w:val="24"/>
                <w:szCs w:val="24"/>
                <w:color w:val="auto"/>
              </w:rPr>
            </w:pPr>
          </w:p>
        </w:tc>
        <w:tc>
          <w:tcPr>
            <w:tcW w:w="120" w:type="dxa"/>
            <w:vAlign w:val="bottom"/>
            <w:tcBorders>
              <w:bottom w:val="single" w:sz="8" w:color="E3EAEE"/>
            </w:tcBorders>
            <w:shd w:val="clear" w:color="auto" w:fill="E3EAEE"/>
          </w:tcPr>
          <w:p>
            <w:pPr>
              <w:spacing w:after="0"/>
              <w:rPr>
                <w:sz w:val="24"/>
                <w:szCs w:val="24"/>
                <w:color w:val="auto"/>
              </w:rPr>
            </w:pPr>
          </w:p>
        </w:tc>
        <w:tc>
          <w:tcPr>
            <w:tcW w:w="328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6"/>
                <w:szCs w:val="16"/>
                <w:color w:val="3E474E"/>
                <w:w w:val="99"/>
              </w:rPr>
              <w:t>Accrued and Unpaid Amounts</w:t>
            </w:r>
            <w:r>
              <w:rPr>
                <w:rFonts w:ascii="Arial" w:cs="Arial" w:eastAsia="Arial" w:hAnsi="Arial"/>
                <w:sz w:val="21"/>
                <w:szCs w:val="21"/>
                <w:color w:val="3E474E"/>
                <w:w w:val="99"/>
                <w:vertAlign w:val="superscript"/>
              </w:rPr>
              <w:t>(1)</w:t>
            </w:r>
          </w:p>
        </w:tc>
        <w:tc>
          <w:tcPr>
            <w:tcW w:w="120" w:type="dxa"/>
            <w:vAlign w:val="bottom"/>
            <w:tcBorders>
              <w:bottom w:val="single" w:sz="8" w:color="E3EAEE"/>
            </w:tcBorders>
            <w:shd w:val="clear" w:color="auto" w:fill="E3EAEE"/>
          </w:tcPr>
          <w:p>
            <w:pPr>
              <w:spacing w:after="0"/>
              <w:rPr>
                <w:sz w:val="24"/>
                <w:szCs w:val="24"/>
                <w:color w:val="auto"/>
              </w:rPr>
            </w:pPr>
          </w:p>
        </w:tc>
        <w:tc>
          <w:tcPr>
            <w:tcW w:w="110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360" w:type="dxa"/>
            <w:vAlign w:val="bottom"/>
            <w:tcBorders>
              <w:bottom w:val="single" w:sz="8" w:color="E3EAEE"/>
            </w:tcBorders>
            <w:shd w:val="clear" w:color="auto" w:fill="E3EAEE"/>
          </w:tcPr>
          <w:p>
            <w:pPr>
              <w:spacing w:after="0"/>
              <w:rPr>
                <w:sz w:val="24"/>
                <w:szCs w:val="24"/>
                <w:color w:val="auto"/>
              </w:rPr>
            </w:pPr>
          </w:p>
        </w:tc>
        <w:tc>
          <w:tcPr>
            <w:tcW w:w="104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240" w:type="dxa"/>
            <w:vAlign w:val="bottom"/>
            <w:tcBorders>
              <w:bottom w:val="single" w:sz="8" w:color="E3EAEE"/>
            </w:tcBorders>
            <w:shd w:val="clear" w:color="auto" w:fill="E3EAEE"/>
          </w:tcPr>
          <w:p>
            <w:pPr>
              <w:spacing w:after="0"/>
              <w:rPr>
                <w:sz w:val="24"/>
                <w:szCs w:val="24"/>
                <w:color w:val="auto"/>
              </w:rPr>
            </w:pPr>
          </w:p>
        </w:tc>
        <w:tc>
          <w:tcPr>
            <w:tcW w:w="1300" w:type="dxa"/>
            <w:vAlign w:val="bottom"/>
            <w:tcBorders>
              <w:bottom w:val="single" w:sz="8" w:color="E3EAEE"/>
            </w:tcBorders>
            <w:shd w:val="clear" w:color="auto" w:fill="E3EAEE"/>
          </w:tcPr>
          <w:p>
            <w:pPr>
              <w:ind w:left="920"/>
              <w:spacing w:after="0"/>
              <w:rPr>
                <w:sz w:val="20"/>
                <w:szCs w:val="20"/>
                <w:color w:val="auto"/>
              </w:rPr>
            </w:pPr>
            <w:r>
              <w:rPr>
                <w:rFonts w:ascii="Arial" w:cs="Arial" w:eastAsia="Arial" w:hAnsi="Arial"/>
                <w:sz w:val="16"/>
                <w:szCs w:val="16"/>
                <w:color w:val="3E474E"/>
              </w:rPr>
              <w:t>—</w:t>
            </w:r>
          </w:p>
        </w:tc>
        <w:tc>
          <w:tcPr>
            <w:tcW w:w="1200" w:type="dxa"/>
            <w:vAlign w:val="bottom"/>
            <w:tcBorders>
              <w:bottom w:val="single" w:sz="8" w:color="E3EAEE"/>
            </w:tcBorders>
            <w:shd w:val="clear" w:color="auto" w:fill="E3EAEE"/>
          </w:tcPr>
          <w:p>
            <w:pPr>
              <w:jc w:val="right"/>
              <w:ind w:right="219"/>
              <w:spacing w:after="0"/>
              <w:rPr>
                <w:sz w:val="20"/>
                <w:szCs w:val="20"/>
                <w:color w:val="auto"/>
              </w:rPr>
            </w:pPr>
            <w:r>
              <w:rPr>
                <w:rFonts w:ascii="Arial" w:cs="Arial" w:eastAsia="Arial" w:hAnsi="Arial"/>
                <w:sz w:val="16"/>
                <w:szCs w:val="16"/>
                <w:color w:val="3E474E"/>
              </w:rPr>
              <w:t>—</w:t>
            </w:r>
          </w:p>
        </w:tc>
        <w:tc>
          <w:tcPr>
            <w:tcW w:w="1080" w:type="dxa"/>
            <w:vAlign w:val="bottom"/>
            <w:tcBorders>
              <w:bottom w:val="single" w:sz="8" w:color="E3EAEE"/>
            </w:tcBorders>
            <w:shd w:val="clear" w:color="auto" w:fill="E3EAEE"/>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00" w:type="dxa"/>
            <w:vAlign w:val="bottom"/>
            <w:tcBorders>
              <w:top w:val="single" w:sz="8" w:color="E3EAEE"/>
              <w:bottom w:val="single" w:sz="8" w:color="E3EAEE"/>
            </w:tcBorders>
            <w:shd w:val="clear" w:color="auto" w:fill="E3EAEE"/>
          </w:tcPr>
          <w:p>
            <w:pPr>
              <w:ind w:left="180"/>
              <w:spacing w:after="0" w:line="148" w:lineRule="exact"/>
              <w:rPr>
                <w:sz w:val="20"/>
                <w:szCs w:val="20"/>
                <w:color w:val="auto"/>
              </w:rPr>
            </w:pPr>
            <w:r>
              <w:rPr>
                <w:rFonts w:ascii="Arial" w:cs="Arial" w:eastAsia="Arial" w:hAnsi="Arial"/>
                <w:sz w:val="16"/>
                <w:szCs w:val="16"/>
                <w:b w:val="1"/>
                <w:bCs w:val="1"/>
                <w:color w:val="3E474E"/>
              </w:rPr>
              <w:t>Tibbetts</w:t>
            </w:r>
          </w:p>
        </w:tc>
        <w:tc>
          <w:tcPr>
            <w:tcW w:w="360" w:type="dxa"/>
            <w:vAlign w:val="bottom"/>
            <w:tcBorders>
              <w:top w:val="single" w:sz="8" w:color="E3EAEE"/>
              <w:bottom w:val="single" w:sz="8" w:color="E3EAEE"/>
            </w:tcBorders>
            <w:shd w:val="clear" w:color="auto" w:fill="E3EAEE"/>
          </w:tcPr>
          <w:p>
            <w:pPr>
              <w:spacing w:after="0"/>
              <w:rPr>
                <w:sz w:val="24"/>
                <w:szCs w:val="24"/>
                <w:color w:val="auto"/>
              </w:rPr>
            </w:pPr>
          </w:p>
        </w:tc>
        <w:tc>
          <w:tcPr>
            <w:tcW w:w="120" w:type="dxa"/>
            <w:vAlign w:val="bottom"/>
            <w:tcBorders>
              <w:top w:val="single" w:sz="8" w:color="E3EAEE"/>
              <w:bottom w:val="single" w:sz="8" w:color="E3EAEE"/>
            </w:tcBorders>
            <w:shd w:val="clear" w:color="auto" w:fill="E3EAEE"/>
          </w:tcPr>
          <w:p>
            <w:pPr>
              <w:spacing w:after="0"/>
              <w:rPr>
                <w:sz w:val="24"/>
                <w:szCs w:val="24"/>
                <w:color w:val="auto"/>
              </w:rPr>
            </w:pPr>
          </w:p>
        </w:tc>
        <w:tc>
          <w:tcPr>
            <w:tcW w:w="3280" w:type="dxa"/>
            <w:vAlign w:val="bottom"/>
            <w:tcBorders>
              <w:top w:val="single" w:sz="8" w:color="1478A3"/>
              <w:bottom w:val="single" w:sz="8" w:color="E3EAEE"/>
            </w:tcBorders>
            <w:shd w:val="clear" w:color="auto" w:fill="E3EAEE"/>
          </w:tcPr>
          <w:p>
            <w:pPr>
              <w:jc w:val="center"/>
              <w:spacing w:after="0"/>
              <w:rPr>
                <w:sz w:val="20"/>
                <w:szCs w:val="20"/>
                <w:color w:val="auto"/>
              </w:rPr>
            </w:pPr>
            <w:r>
              <w:rPr>
                <w:rFonts w:ascii="Arial" w:cs="Arial" w:eastAsia="Arial" w:hAnsi="Arial"/>
                <w:sz w:val="16"/>
                <w:szCs w:val="16"/>
                <w:color w:val="3E474E"/>
              </w:rPr>
              <w:t>Lump Sum Cash Severance</w:t>
            </w:r>
          </w:p>
        </w:tc>
        <w:tc>
          <w:tcPr>
            <w:tcW w:w="120" w:type="dxa"/>
            <w:vAlign w:val="bottom"/>
            <w:tcBorders>
              <w:top w:val="single" w:sz="8" w:color="E3EAEE"/>
              <w:bottom w:val="single" w:sz="8" w:color="E3EAEE"/>
            </w:tcBorders>
            <w:shd w:val="clear" w:color="auto" w:fill="E3EAEE"/>
          </w:tcPr>
          <w:p>
            <w:pPr>
              <w:spacing w:after="0"/>
              <w:rPr>
                <w:sz w:val="24"/>
                <w:szCs w:val="24"/>
                <w:color w:val="auto"/>
              </w:rPr>
            </w:pPr>
          </w:p>
        </w:tc>
        <w:tc>
          <w:tcPr>
            <w:tcW w:w="1100" w:type="dxa"/>
            <w:vAlign w:val="bottom"/>
            <w:tcBorders>
              <w:top w:val="single" w:sz="8" w:color="E3EAEE"/>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5,219,890</w:t>
            </w:r>
          </w:p>
        </w:tc>
        <w:tc>
          <w:tcPr>
            <w:tcW w:w="360" w:type="dxa"/>
            <w:vAlign w:val="bottom"/>
            <w:tcBorders>
              <w:top w:val="single" w:sz="8" w:color="E3EAEE"/>
              <w:bottom w:val="single" w:sz="8" w:color="E3EAEE"/>
            </w:tcBorders>
            <w:shd w:val="clear" w:color="auto" w:fill="E3EAEE"/>
          </w:tcPr>
          <w:p>
            <w:pPr>
              <w:jc w:val="right"/>
              <w:ind w:right="167"/>
              <w:spacing w:after="0"/>
              <w:rPr>
                <w:sz w:val="20"/>
                <w:szCs w:val="20"/>
                <w:color w:val="auto"/>
              </w:rPr>
            </w:pPr>
            <w:r>
              <w:rPr>
                <w:rFonts w:ascii="Arial" w:cs="Arial" w:eastAsia="Arial" w:hAnsi="Arial"/>
                <w:sz w:val="11"/>
                <w:szCs w:val="11"/>
                <w:color w:val="3E474E"/>
                <w:w w:val="88"/>
              </w:rPr>
              <w:t>(2)</w:t>
            </w:r>
          </w:p>
        </w:tc>
        <w:tc>
          <w:tcPr>
            <w:tcW w:w="1040" w:type="dxa"/>
            <w:vAlign w:val="bottom"/>
            <w:tcBorders>
              <w:top w:val="single" w:sz="8" w:color="E3EAEE"/>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5,219,890</w:t>
            </w:r>
          </w:p>
        </w:tc>
        <w:tc>
          <w:tcPr>
            <w:tcW w:w="240" w:type="dxa"/>
            <w:vAlign w:val="bottom"/>
            <w:tcBorders>
              <w:top w:val="single" w:sz="8" w:color="E3EAEE"/>
              <w:bottom w:val="single" w:sz="8" w:color="E3EAEE"/>
            </w:tcBorders>
            <w:shd w:val="clear" w:color="auto" w:fill="E3EAEE"/>
          </w:tcPr>
          <w:p>
            <w:pPr>
              <w:jc w:val="right"/>
              <w:ind w:right="27"/>
              <w:spacing w:after="0"/>
              <w:rPr>
                <w:sz w:val="20"/>
                <w:szCs w:val="20"/>
                <w:color w:val="auto"/>
              </w:rPr>
            </w:pPr>
            <w:r>
              <w:rPr>
                <w:rFonts w:ascii="Arial" w:cs="Arial" w:eastAsia="Arial" w:hAnsi="Arial"/>
                <w:sz w:val="11"/>
                <w:szCs w:val="11"/>
                <w:color w:val="3E474E"/>
              </w:rPr>
              <w:t>(3)</w:t>
            </w:r>
          </w:p>
        </w:tc>
        <w:tc>
          <w:tcPr>
            <w:tcW w:w="1300" w:type="dxa"/>
            <w:vAlign w:val="bottom"/>
            <w:tcBorders>
              <w:top w:val="single" w:sz="8" w:color="E3EAEE"/>
              <w:bottom w:val="single" w:sz="8" w:color="E3EAEE"/>
            </w:tcBorders>
            <w:shd w:val="clear" w:color="auto" w:fill="E3EAEE"/>
          </w:tcPr>
          <w:p>
            <w:pPr>
              <w:ind w:left="920"/>
              <w:spacing w:after="0"/>
              <w:rPr>
                <w:sz w:val="20"/>
                <w:szCs w:val="20"/>
                <w:color w:val="auto"/>
              </w:rPr>
            </w:pPr>
            <w:r>
              <w:rPr>
                <w:rFonts w:ascii="Arial" w:cs="Arial" w:eastAsia="Arial" w:hAnsi="Arial"/>
                <w:sz w:val="16"/>
                <w:szCs w:val="16"/>
                <w:color w:val="3E474E"/>
              </w:rPr>
              <w:t>—</w:t>
            </w:r>
          </w:p>
        </w:tc>
        <w:tc>
          <w:tcPr>
            <w:tcW w:w="1200" w:type="dxa"/>
            <w:vAlign w:val="bottom"/>
            <w:tcBorders>
              <w:top w:val="single" w:sz="8" w:color="E3EAEE"/>
              <w:bottom w:val="single" w:sz="8" w:color="E3EAEE"/>
            </w:tcBorders>
            <w:shd w:val="clear" w:color="auto" w:fill="E3EAEE"/>
          </w:tcPr>
          <w:p>
            <w:pPr>
              <w:jc w:val="right"/>
              <w:ind w:right="219"/>
              <w:spacing w:after="0"/>
              <w:rPr>
                <w:sz w:val="20"/>
                <w:szCs w:val="20"/>
                <w:color w:val="auto"/>
              </w:rPr>
            </w:pPr>
            <w:r>
              <w:rPr>
                <w:rFonts w:ascii="Arial" w:cs="Arial" w:eastAsia="Arial" w:hAnsi="Arial"/>
                <w:sz w:val="16"/>
                <w:szCs w:val="16"/>
                <w:color w:val="3E474E"/>
              </w:rPr>
              <w:t>—</w:t>
            </w:r>
          </w:p>
        </w:tc>
        <w:tc>
          <w:tcPr>
            <w:tcW w:w="1080" w:type="dxa"/>
            <w:vAlign w:val="bottom"/>
            <w:tcBorders>
              <w:top w:val="single" w:sz="8" w:color="E3EAEE"/>
              <w:bottom w:val="single" w:sz="8" w:color="E3EAEE"/>
            </w:tcBorders>
            <w:shd w:val="clear" w:color="auto" w:fill="E3EAEE"/>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00" w:type="dxa"/>
            <w:vAlign w:val="bottom"/>
            <w:tcBorders>
              <w:top w:val="single" w:sz="8" w:color="E3EAEE"/>
            </w:tcBorders>
            <w:shd w:val="clear" w:color="auto" w:fill="E3EAEE"/>
          </w:tcPr>
          <w:p>
            <w:pPr>
              <w:spacing w:after="0"/>
              <w:rPr>
                <w:sz w:val="20"/>
                <w:szCs w:val="20"/>
                <w:color w:val="auto"/>
              </w:rPr>
            </w:pPr>
          </w:p>
        </w:tc>
        <w:tc>
          <w:tcPr>
            <w:tcW w:w="360" w:type="dxa"/>
            <w:vAlign w:val="bottom"/>
            <w:tcBorders>
              <w:top w:val="single" w:sz="8" w:color="E3EAEE"/>
            </w:tcBorders>
            <w:shd w:val="clear" w:color="auto" w:fill="E3EAEE"/>
          </w:tcPr>
          <w:p>
            <w:pPr>
              <w:spacing w:after="0"/>
              <w:rPr>
                <w:sz w:val="20"/>
                <w:szCs w:val="20"/>
                <w:color w:val="auto"/>
              </w:rPr>
            </w:pPr>
          </w:p>
        </w:tc>
        <w:tc>
          <w:tcPr>
            <w:tcW w:w="120" w:type="dxa"/>
            <w:vAlign w:val="bottom"/>
            <w:tcBorders>
              <w:top w:val="single" w:sz="8" w:color="E3EAEE"/>
            </w:tcBorders>
            <w:shd w:val="clear" w:color="auto" w:fill="E3EAEE"/>
          </w:tcPr>
          <w:p>
            <w:pPr>
              <w:spacing w:after="0"/>
              <w:rPr>
                <w:sz w:val="20"/>
                <w:szCs w:val="20"/>
                <w:color w:val="auto"/>
              </w:rPr>
            </w:pPr>
          </w:p>
        </w:tc>
        <w:tc>
          <w:tcPr>
            <w:tcW w:w="3280" w:type="dxa"/>
            <w:vAlign w:val="bottom"/>
            <w:tcBorders>
              <w:top w:val="single" w:sz="8" w:color="1478A3"/>
              <w:bottom w:val="single" w:sz="8" w:color="1478A3"/>
            </w:tcBorders>
            <w:shd w:val="clear" w:color="auto" w:fill="E3EAEE"/>
          </w:tcPr>
          <w:p>
            <w:pPr>
              <w:jc w:val="center"/>
              <w:spacing w:after="0" w:line="237" w:lineRule="exact"/>
              <w:rPr>
                <w:sz w:val="20"/>
                <w:szCs w:val="20"/>
                <w:color w:val="auto"/>
              </w:rPr>
            </w:pPr>
            <w:r>
              <w:rPr>
                <w:rFonts w:ascii="Arial" w:cs="Arial" w:eastAsia="Arial" w:hAnsi="Arial"/>
                <w:sz w:val="16"/>
                <w:szCs w:val="16"/>
                <w:color w:val="3E474E"/>
                <w:w w:val="98"/>
              </w:rPr>
              <w:t>Accelerated Vesting of Stock Awards</w:t>
            </w:r>
            <w:r>
              <w:rPr>
                <w:rFonts w:ascii="Arial" w:cs="Arial" w:eastAsia="Arial" w:hAnsi="Arial"/>
                <w:sz w:val="21"/>
                <w:szCs w:val="21"/>
                <w:color w:val="3E474E"/>
                <w:w w:val="98"/>
                <w:vertAlign w:val="superscript"/>
              </w:rPr>
              <w:t>(4)</w:t>
            </w:r>
          </w:p>
        </w:tc>
        <w:tc>
          <w:tcPr>
            <w:tcW w:w="120" w:type="dxa"/>
            <w:vAlign w:val="bottom"/>
            <w:tcBorders>
              <w:top w:val="single" w:sz="8" w:color="E3EAEE"/>
            </w:tcBorders>
            <w:shd w:val="clear" w:color="auto" w:fill="E3EAEE"/>
          </w:tcPr>
          <w:p>
            <w:pPr>
              <w:spacing w:after="0"/>
              <w:rPr>
                <w:sz w:val="20"/>
                <w:szCs w:val="20"/>
                <w:color w:val="auto"/>
              </w:rPr>
            </w:pPr>
          </w:p>
        </w:tc>
        <w:tc>
          <w:tcPr>
            <w:tcW w:w="1100" w:type="dxa"/>
            <w:vAlign w:val="bottom"/>
            <w:tcBorders>
              <w:top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829,558</w:t>
            </w:r>
          </w:p>
        </w:tc>
        <w:tc>
          <w:tcPr>
            <w:tcW w:w="360" w:type="dxa"/>
            <w:vAlign w:val="bottom"/>
            <w:tcBorders>
              <w:top w:val="single" w:sz="8" w:color="E3EAEE"/>
            </w:tcBorders>
            <w:shd w:val="clear" w:color="auto" w:fill="E3EAEE"/>
          </w:tcPr>
          <w:p>
            <w:pPr>
              <w:spacing w:after="0"/>
              <w:rPr>
                <w:sz w:val="20"/>
                <w:szCs w:val="20"/>
                <w:color w:val="auto"/>
              </w:rPr>
            </w:pPr>
          </w:p>
        </w:tc>
        <w:tc>
          <w:tcPr>
            <w:tcW w:w="1040" w:type="dxa"/>
            <w:vAlign w:val="bottom"/>
            <w:tcBorders>
              <w:top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4,358,181</w:t>
            </w:r>
          </w:p>
        </w:tc>
        <w:tc>
          <w:tcPr>
            <w:tcW w:w="240" w:type="dxa"/>
            <w:vAlign w:val="bottom"/>
            <w:tcBorders>
              <w:top w:val="single" w:sz="8" w:color="E3EAEE"/>
            </w:tcBorders>
            <w:shd w:val="clear" w:color="auto" w:fill="E3EAEE"/>
          </w:tcPr>
          <w:p>
            <w:pPr>
              <w:spacing w:after="0"/>
              <w:rPr>
                <w:sz w:val="20"/>
                <w:szCs w:val="20"/>
                <w:color w:val="auto"/>
              </w:rPr>
            </w:pPr>
          </w:p>
        </w:tc>
        <w:tc>
          <w:tcPr>
            <w:tcW w:w="1300" w:type="dxa"/>
            <w:vAlign w:val="bottom"/>
            <w:tcBorders>
              <w:top w:val="single" w:sz="8" w:color="E3EAEE"/>
            </w:tcBorders>
            <w:shd w:val="clear" w:color="auto" w:fill="E3EAEE"/>
          </w:tcPr>
          <w:p>
            <w:pPr>
              <w:ind w:left="920"/>
              <w:spacing w:after="0"/>
              <w:rPr>
                <w:sz w:val="20"/>
                <w:szCs w:val="20"/>
                <w:color w:val="auto"/>
              </w:rPr>
            </w:pPr>
            <w:r>
              <w:rPr>
                <w:rFonts w:ascii="Arial" w:cs="Arial" w:eastAsia="Arial" w:hAnsi="Arial"/>
                <w:sz w:val="16"/>
                <w:szCs w:val="16"/>
                <w:color w:val="3E474E"/>
              </w:rPr>
              <w:t>—</w:t>
            </w:r>
          </w:p>
        </w:tc>
        <w:tc>
          <w:tcPr>
            <w:tcW w:w="1200" w:type="dxa"/>
            <w:vAlign w:val="bottom"/>
            <w:tcBorders>
              <w:top w:val="single" w:sz="8" w:color="E3EAEE"/>
            </w:tcBorders>
            <w:shd w:val="clear" w:color="auto" w:fill="E3EAEE"/>
          </w:tcPr>
          <w:p>
            <w:pPr>
              <w:jc w:val="right"/>
              <w:ind w:right="219"/>
              <w:spacing w:after="0"/>
              <w:rPr>
                <w:sz w:val="20"/>
                <w:szCs w:val="20"/>
                <w:color w:val="auto"/>
              </w:rPr>
            </w:pPr>
            <w:r>
              <w:rPr>
                <w:rFonts w:ascii="Arial" w:cs="Arial" w:eastAsia="Arial" w:hAnsi="Arial"/>
                <w:sz w:val="16"/>
                <w:szCs w:val="16"/>
                <w:color w:val="3E474E"/>
              </w:rPr>
              <w:t>2,113,858</w:t>
            </w:r>
          </w:p>
        </w:tc>
        <w:tc>
          <w:tcPr>
            <w:tcW w:w="1080" w:type="dxa"/>
            <w:vAlign w:val="bottom"/>
            <w:tcBorders>
              <w:top w:val="single" w:sz="8" w:color="E3EAEE"/>
            </w:tcBorders>
            <w:shd w:val="clear" w:color="auto" w:fill="E3EAEE"/>
          </w:tcPr>
          <w:p>
            <w:pPr>
              <w:jc w:val="right"/>
              <w:ind w:right="39"/>
              <w:spacing w:after="0"/>
              <w:rPr>
                <w:sz w:val="20"/>
                <w:szCs w:val="20"/>
                <w:color w:val="auto"/>
              </w:rPr>
            </w:pPr>
            <w:r>
              <w:rPr>
                <w:rFonts w:ascii="Arial" w:cs="Arial" w:eastAsia="Arial" w:hAnsi="Arial"/>
                <w:sz w:val="16"/>
                <w:szCs w:val="16"/>
                <w:color w:val="3E474E"/>
              </w:rPr>
              <w:t>829,558</w:t>
            </w:r>
          </w:p>
        </w:tc>
        <w:tc>
          <w:tcPr>
            <w:tcW w:w="0" w:type="dxa"/>
            <w:vAlign w:val="bottom"/>
          </w:tcPr>
          <w:p>
            <w:pPr>
              <w:spacing w:after="0"/>
              <w:rPr>
                <w:sz w:val="1"/>
                <w:szCs w:val="1"/>
                <w:color w:val="auto"/>
              </w:rPr>
            </w:pPr>
          </w:p>
        </w:tc>
      </w:tr>
      <w:tr>
        <w:trPr>
          <w:trHeight w:val="264"/>
        </w:trPr>
        <w:tc>
          <w:tcPr>
            <w:tcW w:w="13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3E474E"/>
              </w:rPr>
              <w:t>Matthew T.</w:t>
            </w:r>
          </w:p>
        </w:tc>
        <w:tc>
          <w:tcPr>
            <w:tcW w:w="3280" w:type="dxa"/>
            <w:vAlign w:val="bottom"/>
          </w:tcPr>
          <w:p>
            <w:pPr>
              <w:jc w:val="center"/>
              <w:spacing w:after="0"/>
              <w:rPr>
                <w:sz w:val="20"/>
                <w:szCs w:val="20"/>
                <w:color w:val="auto"/>
              </w:rPr>
            </w:pPr>
            <w:r>
              <w:rPr>
                <w:rFonts w:ascii="Arial" w:cs="Arial" w:eastAsia="Arial" w:hAnsi="Arial"/>
                <w:sz w:val="16"/>
                <w:szCs w:val="16"/>
                <w:color w:val="3E474E"/>
                <w:w w:val="99"/>
              </w:rPr>
              <w:t>Accrued and Unpaid Amounts</w:t>
            </w:r>
            <w:r>
              <w:rPr>
                <w:rFonts w:ascii="Arial" w:cs="Arial" w:eastAsia="Arial" w:hAnsi="Arial"/>
                <w:sz w:val="21"/>
                <w:szCs w:val="21"/>
                <w:color w:val="3E474E"/>
                <w:w w:val="99"/>
                <w:vertAlign w:val="superscript"/>
              </w:rPr>
              <w:t>(1)</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3E474E"/>
              </w:rPr>
              <w:t>—</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3E474E"/>
              </w:rPr>
              <w:t>—</w:t>
            </w:r>
          </w:p>
        </w:tc>
        <w:tc>
          <w:tcPr>
            <w:tcW w:w="240" w:type="dxa"/>
            <w:vAlign w:val="bottom"/>
          </w:tcPr>
          <w:p>
            <w:pPr>
              <w:spacing w:after="0"/>
              <w:rPr>
                <w:sz w:val="22"/>
                <w:szCs w:val="22"/>
                <w:color w:val="auto"/>
              </w:rPr>
            </w:pPr>
          </w:p>
        </w:tc>
        <w:tc>
          <w:tcPr>
            <w:tcW w:w="1300" w:type="dxa"/>
            <w:vAlign w:val="bottom"/>
          </w:tcPr>
          <w:p>
            <w:pPr>
              <w:ind w:left="920"/>
              <w:spacing w:after="0"/>
              <w:rPr>
                <w:sz w:val="20"/>
                <w:szCs w:val="20"/>
                <w:color w:val="auto"/>
              </w:rPr>
            </w:pPr>
            <w:r>
              <w:rPr>
                <w:rFonts w:ascii="Arial" w:cs="Arial" w:eastAsia="Arial" w:hAnsi="Arial"/>
                <w:sz w:val="16"/>
                <w:szCs w:val="16"/>
                <w:color w:val="3E474E"/>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3E474E"/>
              </w:rPr>
              <w:t>—</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80" w:type="dxa"/>
            <w:vAlign w:val="bottom"/>
            <w:gridSpan w:val="3"/>
            <w:vMerge w:val="continue"/>
          </w:tcPr>
          <w:p>
            <w:pPr>
              <w:spacing w:after="0"/>
              <w:rPr>
                <w:sz w:val="3"/>
                <w:szCs w:val="3"/>
                <w:color w:val="auto"/>
              </w:rPr>
            </w:pPr>
          </w:p>
        </w:tc>
        <w:tc>
          <w:tcPr>
            <w:tcW w:w="3280" w:type="dxa"/>
            <w:vAlign w:val="bottom"/>
            <w:tcBorders>
              <w:bottom w:val="single" w:sz="8" w:color="1478A3"/>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3E474E"/>
              </w:rPr>
              <w:t>Barnes-Smith</w:t>
            </w:r>
          </w:p>
        </w:tc>
        <w:tc>
          <w:tcPr>
            <w:tcW w:w="3280" w:type="dxa"/>
            <w:vAlign w:val="bottom"/>
            <w:vMerge w:val="restart"/>
          </w:tcPr>
          <w:p>
            <w:pPr>
              <w:jc w:val="center"/>
              <w:spacing w:after="0"/>
              <w:rPr>
                <w:sz w:val="20"/>
                <w:szCs w:val="20"/>
                <w:color w:val="auto"/>
              </w:rPr>
            </w:pPr>
            <w:r>
              <w:rPr>
                <w:rFonts w:ascii="Arial" w:cs="Arial" w:eastAsia="Arial" w:hAnsi="Arial"/>
                <w:sz w:val="16"/>
                <w:szCs w:val="16"/>
                <w:color w:val="3E474E"/>
              </w:rPr>
              <w:t>Lump Sum Cash Severance</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3E474E"/>
              </w:rPr>
              <w:t>1,803,260</w:t>
            </w:r>
          </w:p>
        </w:tc>
        <w:tc>
          <w:tcPr>
            <w:tcW w:w="360" w:type="dxa"/>
            <w:vAlign w:val="bottom"/>
          </w:tcPr>
          <w:p>
            <w:pPr>
              <w:jc w:val="right"/>
              <w:ind w:right="167"/>
              <w:spacing w:after="0"/>
              <w:rPr>
                <w:sz w:val="20"/>
                <w:szCs w:val="20"/>
                <w:color w:val="auto"/>
              </w:rPr>
            </w:pPr>
            <w:r>
              <w:rPr>
                <w:rFonts w:ascii="Arial" w:cs="Arial" w:eastAsia="Arial" w:hAnsi="Arial"/>
                <w:sz w:val="11"/>
                <w:szCs w:val="11"/>
                <w:color w:val="3E474E"/>
                <w:w w:val="88"/>
              </w:rPr>
              <w:t>(2)</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3E474E"/>
              </w:rPr>
              <w:t>2,179,075</w:t>
            </w:r>
          </w:p>
        </w:tc>
        <w:tc>
          <w:tcPr>
            <w:tcW w:w="240" w:type="dxa"/>
            <w:vAlign w:val="bottom"/>
          </w:tcPr>
          <w:p>
            <w:pPr>
              <w:jc w:val="right"/>
              <w:ind w:right="27"/>
              <w:spacing w:after="0"/>
              <w:rPr>
                <w:sz w:val="20"/>
                <w:szCs w:val="20"/>
                <w:color w:val="auto"/>
              </w:rPr>
            </w:pPr>
            <w:r>
              <w:rPr>
                <w:rFonts w:ascii="Arial" w:cs="Arial" w:eastAsia="Arial" w:hAnsi="Arial"/>
                <w:sz w:val="11"/>
                <w:szCs w:val="11"/>
                <w:color w:val="3E474E"/>
              </w:rPr>
              <w:t>(3)</w:t>
            </w:r>
          </w:p>
        </w:tc>
        <w:tc>
          <w:tcPr>
            <w:tcW w:w="1300" w:type="dxa"/>
            <w:vAlign w:val="bottom"/>
            <w:vMerge w:val="restart"/>
          </w:tcPr>
          <w:p>
            <w:pPr>
              <w:ind w:left="920"/>
              <w:spacing w:after="0"/>
              <w:rPr>
                <w:sz w:val="20"/>
                <w:szCs w:val="20"/>
                <w:color w:val="auto"/>
              </w:rPr>
            </w:pPr>
            <w:r>
              <w:rPr>
                <w:rFonts w:ascii="Arial" w:cs="Arial" w:eastAsia="Arial" w:hAnsi="Arial"/>
                <w:sz w:val="16"/>
                <w:szCs w:val="16"/>
                <w:color w:val="3E474E"/>
              </w:rPr>
              <w:t>—</w:t>
            </w:r>
          </w:p>
        </w:tc>
        <w:tc>
          <w:tcPr>
            <w:tcW w:w="1200" w:type="dxa"/>
            <w:vAlign w:val="bottom"/>
            <w:vMerge w:val="restart"/>
          </w:tcPr>
          <w:p>
            <w:pPr>
              <w:jc w:val="right"/>
              <w:ind w:right="219"/>
              <w:spacing w:after="0"/>
              <w:rPr>
                <w:sz w:val="20"/>
                <w:szCs w:val="20"/>
                <w:color w:val="auto"/>
              </w:rPr>
            </w:pPr>
            <w:r>
              <w:rPr>
                <w:rFonts w:ascii="Arial" w:cs="Arial" w:eastAsia="Arial" w:hAnsi="Arial"/>
                <w:sz w:val="16"/>
                <w:szCs w:val="16"/>
                <w:color w:val="3E474E"/>
              </w:rPr>
              <w:t>—</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8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80" w:type="dxa"/>
            <w:vAlign w:val="bottom"/>
            <w:tcBorders>
              <w:bottom w:val="single" w:sz="8" w:color="1478A3"/>
            </w:tcBorders>
          </w:tcPr>
          <w:p>
            <w:pPr>
              <w:spacing w:after="0"/>
              <w:rPr>
                <w:sz w:val="4"/>
                <w:szCs w:val="4"/>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3E474E"/>
              </w:rPr>
              <w:t>322,594</w:t>
            </w:r>
          </w:p>
        </w:tc>
        <w:tc>
          <w:tcPr>
            <w:tcW w:w="360" w:type="dxa"/>
            <w:vAlign w:val="bottom"/>
          </w:tcPr>
          <w:p>
            <w:pPr>
              <w:spacing w:after="0"/>
              <w:rPr>
                <w:sz w:val="4"/>
                <w:szCs w:val="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3E474E"/>
              </w:rPr>
              <w:t>1,740,898</w:t>
            </w:r>
          </w:p>
        </w:tc>
        <w:tc>
          <w:tcPr>
            <w:tcW w:w="240" w:type="dxa"/>
            <w:vAlign w:val="bottom"/>
          </w:tcPr>
          <w:p>
            <w:pPr>
              <w:spacing w:after="0"/>
              <w:rPr>
                <w:sz w:val="4"/>
                <w:szCs w:val="4"/>
                <w:color w:val="auto"/>
              </w:rPr>
            </w:pPr>
          </w:p>
        </w:tc>
        <w:tc>
          <w:tcPr>
            <w:tcW w:w="1300" w:type="dxa"/>
            <w:vAlign w:val="bottom"/>
            <w:vMerge w:val="restart"/>
          </w:tcPr>
          <w:p>
            <w:pPr>
              <w:ind w:left="920"/>
              <w:spacing w:after="0"/>
              <w:rPr>
                <w:sz w:val="20"/>
                <w:szCs w:val="20"/>
                <w:color w:val="auto"/>
              </w:rPr>
            </w:pPr>
            <w:r>
              <w:rPr>
                <w:rFonts w:ascii="Arial" w:cs="Arial" w:eastAsia="Arial" w:hAnsi="Arial"/>
                <w:sz w:val="16"/>
                <w:szCs w:val="16"/>
                <w:color w:val="3E474E"/>
              </w:rPr>
              <w:t>—</w:t>
            </w:r>
          </w:p>
        </w:tc>
        <w:tc>
          <w:tcPr>
            <w:tcW w:w="1200" w:type="dxa"/>
            <w:vAlign w:val="bottom"/>
            <w:vMerge w:val="restart"/>
          </w:tcPr>
          <w:p>
            <w:pPr>
              <w:jc w:val="right"/>
              <w:ind w:right="219"/>
              <w:spacing w:after="0"/>
              <w:rPr>
                <w:sz w:val="20"/>
                <w:szCs w:val="20"/>
                <w:color w:val="auto"/>
              </w:rPr>
            </w:pPr>
            <w:r>
              <w:rPr>
                <w:rFonts w:ascii="Arial" w:cs="Arial" w:eastAsia="Arial" w:hAnsi="Arial"/>
                <w:sz w:val="16"/>
                <w:szCs w:val="16"/>
                <w:color w:val="3E474E"/>
              </w:rPr>
              <w:t>843,170</w:t>
            </w: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3E474E"/>
              </w:rPr>
              <w:t>322,594</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jc w:val="center"/>
              <w:spacing w:after="0" w:line="237" w:lineRule="exact"/>
              <w:rPr>
                <w:sz w:val="20"/>
                <w:szCs w:val="20"/>
                <w:color w:val="auto"/>
              </w:rPr>
            </w:pPr>
            <w:r>
              <w:rPr>
                <w:rFonts w:ascii="Arial" w:cs="Arial" w:eastAsia="Arial" w:hAnsi="Arial"/>
                <w:sz w:val="16"/>
                <w:szCs w:val="16"/>
                <w:color w:val="3E474E"/>
                <w:w w:val="98"/>
              </w:rPr>
              <w:t>Accelerated Vesting of Stock Awards</w:t>
            </w:r>
            <w:r>
              <w:rPr>
                <w:rFonts w:ascii="Arial" w:cs="Arial" w:eastAsia="Arial" w:hAnsi="Arial"/>
                <w:sz w:val="21"/>
                <w:szCs w:val="21"/>
                <w:color w:val="3E474E"/>
                <w:w w:val="98"/>
                <w:vertAlign w:val="superscript"/>
              </w:rPr>
              <w:t>(4)</w:t>
            </w:r>
          </w:p>
        </w:tc>
        <w:tc>
          <w:tcPr>
            <w:tcW w:w="12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00" w:type="dxa"/>
            <w:vAlign w:val="bottom"/>
            <w:tcBorders>
              <w:bottom w:val="single" w:sz="8" w:color="E3EAEE"/>
            </w:tcBorders>
            <w:shd w:val="clear" w:color="auto" w:fill="E3EAEE"/>
          </w:tcPr>
          <w:p>
            <w:pPr>
              <w:ind w:left="100"/>
              <w:spacing w:after="0"/>
              <w:rPr>
                <w:sz w:val="20"/>
                <w:szCs w:val="20"/>
                <w:color w:val="auto"/>
              </w:rPr>
            </w:pPr>
            <w:r>
              <w:rPr>
                <w:rFonts w:ascii="Arial" w:cs="Arial" w:eastAsia="Arial" w:hAnsi="Arial"/>
                <w:sz w:val="16"/>
                <w:szCs w:val="16"/>
                <w:b w:val="1"/>
                <w:bCs w:val="1"/>
                <w:color w:val="3E474E"/>
              </w:rPr>
              <w:t>Eric E.</w:t>
            </w:r>
          </w:p>
        </w:tc>
        <w:tc>
          <w:tcPr>
            <w:tcW w:w="360" w:type="dxa"/>
            <w:vAlign w:val="bottom"/>
            <w:tcBorders>
              <w:bottom w:val="single" w:sz="8" w:color="E3EAEE"/>
            </w:tcBorders>
            <w:shd w:val="clear" w:color="auto" w:fill="E3EAEE"/>
          </w:tcPr>
          <w:p>
            <w:pPr>
              <w:spacing w:after="0"/>
              <w:rPr>
                <w:sz w:val="24"/>
                <w:szCs w:val="24"/>
                <w:color w:val="auto"/>
              </w:rPr>
            </w:pPr>
          </w:p>
        </w:tc>
        <w:tc>
          <w:tcPr>
            <w:tcW w:w="120" w:type="dxa"/>
            <w:vAlign w:val="bottom"/>
            <w:tcBorders>
              <w:bottom w:val="single" w:sz="8" w:color="E3EAEE"/>
            </w:tcBorders>
            <w:shd w:val="clear" w:color="auto" w:fill="E3EAEE"/>
          </w:tcPr>
          <w:p>
            <w:pPr>
              <w:spacing w:after="0"/>
              <w:rPr>
                <w:sz w:val="24"/>
                <w:szCs w:val="24"/>
                <w:color w:val="auto"/>
              </w:rPr>
            </w:pPr>
          </w:p>
        </w:tc>
        <w:tc>
          <w:tcPr>
            <w:tcW w:w="3280" w:type="dxa"/>
            <w:vAlign w:val="bottom"/>
            <w:tcBorders>
              <w:bottom w:val="single" w:sz="8" w:color="E3EAEE"/>
            </w:tcBorders>
            <w:shd w:val="clear" w:color="auto" w:fill="E3EAEE"/>
          </w:tcPr>
          <w:p>
            <w:pPr>
              <w:jc w:val="center"/>
              <w:spacing w:after="0"/>
              <w:rPr>
                <w:sz w:val="20"/>
                <w:szCs w:val="20"/>
                <w:color w:val="auto"/>
              </w:rPr>
            </w:pPr>
            <w:r>
              <w:rPr>
                <w:rFonts w:ascii="Arial" w:cs="Arial" w:eastAsia="Arial" w:hAnsi="Arial"/>
                <w:sz w:val="16"/>
                <w:szCs w:val="16"/>
                <w:color w:val="3E474E"/>
                <w:w w:val="99"/>
              </w:rPr>
              <w:t>Accrued and Unpaid Amounts</w:t>
            </w:r>
            <w:r>
              <w:rPr>
                <w:rFonts w:ascii="Arial" w:cs="Arial" w:eastAsia="Arial" w:hAnsi="Arial"/>
                <w:sz w:val="21"/>
                <w:szCs w:val="21"/>
                <w:color w:val="3E474E"/>
                <w:w w:val="99"/>
                <w:vertAlign w:val="superscript"/>
              </w:rPr>
              <w:t>(1)</w:t>
            </w:r>
          </w:p>
        </w:tc>
        <w:tc>
          <w:tcPr>
            <w:tcW w:w="120" w:type="dxa"/>
            <w:vAlign w:val="bottom"/>
            <w:tcBorders>
              <w:bottom w:val="single" w:sz="8" w:color="E3EAEE"/>
            </w:tcBorders>
            <w:shd w:val="clear" w:color="auto" w:fill="E3EAEE"/>
          </w:tcPr>
          <w:p>
            <w:pPr>
              <w:spacing w:after="0"/>
              <w:rPr>
                <w:sz w:val="24"/>
                <w:szCs w:val="24"/>
                <w:color w:val="auto"/>
              </w:rPr>
            </w:pPr>
          </w:p>
        </w:tc>
        <w:tc>
          <w:tcPr>
            <w:tcW w:w="110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360" w:type="dxa"/>
            <w:vAlign w:val="bottom"/>
            <w:tcBorders>
              <w:bottom w:val="single" w:sz="8" w:color="E3EAEE"/>
            </w:tcBorders>
            <w:shd w:val="clear" w:color="auto" w:fill="E3EAEE"/>
          </w:tcPr>
          <w:p>
            <w:pPr>
              <w:spacing w:after="0"/>
              <w:rPr>
                <w:sz w:val="24"/>
                <w:szCs w:val="24"/>
                <w:color w:val="auto"/>
              </w:rPr>
            </w:pPr>
          </w:p>
        </w:tc>
        <w:tc>
          <w:tcPr>
            <w:tcW w:w="104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240" w:type="dxa"/>
            <w:vAlign w:val="bottom"/>
            <w:tcBorders>
              <w:bottom w:val="single" w:sz="8" w:color="E3EAEE"/>
            </w:tcBorders>
            <w:shd w:val="clear" w:color="auto" w:fill="E3EAEE"/>
          </w:tcPr>
          <w:p>
            <w:pPr>
              <w:spacing w:after="0"/>
              <w:rPr>
                <w:sz w:val="24"/>
                <w:szCs w:val="24"/>
                <w:color w:val="auto"/>
              </w:rPr>
            </w:pPr>
          </w:p>
        </w:tc>
        <w:tc>
          <w:tcPr>
            <w:tcW w:w="1300" w:type="dxa"/>
            <w:vAlign w:val="bottom"/>
            <w:tcBorders>
              <w:bottom w:val="single" w:sz="8" w:color="E3EAEE"/>
            </w:tcBorders>
            <w:shd w:val="clear" w:color="auto" w:fill="E3EAEE"/>
          </w:tcPr>
          <w:p>
            <w:pPr>
              <w:ind w:left="920"/>
              <w:spacing w:after="0"/>
              <w:rPr>
                <w:sz w:val="20"/>
                <w:szCs w:val="20"/>
                <w:color w:val="auto"/>
              </w:rPr>
            </w:pPr>
            <w:r>
              <w:rPr>
                <w:rFonts w:ascii="Arial" w:cs="Arial" w:eastAsia="Arial" w:hAnsi="Arial"/>
                <w:sz w:val="16"/>
                <w:szCs w:val="16"/>
                <w:color w:val="3E474E"/>
              </w:rPr>
              <w:t>—</w:t>
            </w:r>
          </w:p>
        </w:tc>
        <w:tc>
          <w:tcPr>
            <w:tcW w:w="1200" w:type="dxa"/>
            <w:vAlign w:val="bottom"/>
            <w:tcBorders>
              <w:bottom w:val="single" w:sz="8" w:color="E3EAEE"/>
            </w:tcBorders>
            <w:shd w:val="clear" w:color="auto" w:fill="E3EAEE"/>
          </w:tcPr>
          <w:p>
            <w:pPr>
              <w:jc w:val="right"/>
              <w:ind w:right="219"/>
              <w:spacing w:after="0"/>
              <w:rPr>
                <w:sz w:val="20"/>
                <w:szCs w:val="20"/>
                <w:color w:val="auto"/>
              </w:rPr>
            </w:pPr>
            <w:r>
              <w:rPr>
                <w:rFonts w:ascii="Arial" w:cs="Arial" w:eastAsia="Arial" w:hAnsi="Arial"/>
                <w:sz w:val="16"/>
                <w:szCs w:val="16"/>
                <w:color w:val="3E474E"/>
              </w:rPr>
              <w:t>—</w:t>
            </w:r>
          </w:p>
        </w:tc>
        <w:tc>
          <w:tcPr>
            <w:tcW w:w="1080" w:type="dxa"/>
            <w:vAlign w:val="bottom"/>
            <w:tcBorders>
              <w:bottom w:val="single" w:sz="8" w:color="E3EAEE"/>
            </w:tcBorders>
            <w:shd w:val="clear" w:color="auto" w:fill="E3EAE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00" w:type="dxa"/>
            <w:vAlign w:val="bottom"/>
            <w:tcBorders>
              <w:top w:val="single" w:sz="8" w:color="E3EAEE"/>
            </w:tcBorders>
            <w:shd w:val="clear" w:color="auto" w:fill="E3EAEE"/>
          </w:tcPr>
          <w:p>
            <w:pPr>
              <w:ind w:left="100"/>
              <w:spacing w:after="0"/>
              <w:rPr>
                <w:sz w:val="20"/>
                <w:szCs w:val="20"/>
                <w:color w:val="auto"/>
              </w:rPr>
            </w:pPr>
            <w:r>
              <w:rPr>
                <w:rFonts w:ascii="Arial" w:cs="Arial" w:eastAsia="Arial" w:hAnsi="Arial"/>
                <w:sz w:val="16"/>
                <w:szCs w:val="16"/>
                <w:b w:val="1"/>
                <w:bCs w:val="1"/>
                <w:color w:val="3E474E"/>
              </w:rPr>
              <w:t>Apperson</w:t>
            </w:r>
          </w:p>
        </w:tc>
        <w:tc>
          <w:tcPr>
            <w:tcW w:w="360" w:type="dxa"/>
            <w:vAlign w:val="bottom"/>
            <w:tcBorders>
              <w:top w:val="single" w:sz="8" w:color="E3EAEE"/>
            </w:tcBorders>
            <w:shd w:val="clear" w:color="auto" w:fill="E3EAEE"/>
          </w:tcPr>
          <w:p>
            <w:pPr>
              <w:jc w:val="right"/>
              <w:ind w:right="167"/>
              <w:spacing w:after="0" w:line="119" w:lineRule="exact"/>
              <w:rPr>
                <w:sz w:val="20"/>
                <w:szCs w:val="20"/>
                <w:color w:val="auto"/>
              </w:rPr>
            </w:pPr>
            <w:r>
              <w:rPr>
                <w:rFonts w:ascii="Arial" w:cs="Arial" w:eastAsia="Arial" w:hAnsi="Arial"/>
                <w:sz w:val="11"/>
                <w:szCs w:val="11"/>
                <w:b w:val="1"/>
                <w:bCs w:val="1"/>
                <w:color w:val="3E474E"/>
                <w:w w:val="88"/>
              </w:rPr>
              <w:t>(5)</w:t>
            </w:r>
          </w:p>
        </w:tc>
        <w:tc>
          <w:tcPr>
            <w:tcW w:w="120" w:type="dxa"/>
            <w:vAlign w:val="bottom"/>
            <w:tcBorders>
              <w:top w:val="single" w:sz="8" w:color="E3EAEE"/>
            </w:tcBorders>
            <w:shd w:val="clear" w:color="auto" w:fill="E3EAEE"/>
          </w:tcPr>
          <w:p>
            <w:pPr>
              <w:spacing w:after="0"/>
              <w:rPr>
                <w:sz w:val="16"/>
                <w:szCs w:val="16"/>
                <w:color w:val="auto"/>
              </w:rPr>
            </w:pPr>
          </w:p>
        </w:tc>
        <w:tc>
          <w:tcPr>
            <w:tcW w:w="3280" w:type="dxa"/>
            <w:vAlign w:val="bottom"/>
            <w:tcBorders>
              <w:top w:val="single" w:sz="8" w:color="1478A3"/>
            </w:tcBorders>
            <w:vMerge w:val="restart"/>
            <w:shd w:val="clear" w:color="auto" w:fill="E3EAEE"/>
          </w:tcPr>
          <w:p>
            <w:pPr>
              <w:jc w:val="center"/>
              <w:spacing w:after="0"/>
              <w:rPr>
                <w:sz w:val="20"/>
                <w:szCs w:val="20"/>
                <w:color w:val="auto"/>
              </w:rPr>
            </w:pPr>
            <w:r>
              <w:rPr>
                <w:rFonts w:ascii="Arial" w:cs="Arial" w:eastAsia="Arial" w:hAnsi="Arial"/>
                <w:sz w:val="16"/>
                <w:szCs w:val="16"/>
                <w:color w:val="3E474E"/>
              </w:rPr>
              <w:t>Lump Sum Cash Severance</w:t>
            </w:r>
          </w:p>
        </w:tc>
        <w:tc>
          <w:tcPr>
            <w:tcW w:w="120" w:type="dxa"/>
            <w:vAlign w:val="bottom"/>
            <w:tcBorders>
              <w:top w:val="single" w:sz="8" w:color="E3EAEE"/>
            </w:tcBorders>
            <w:shd w:val="clear" w:color="auto" w:fill="E3EAEE"/>
          </w:tcPr>
          <w:p>
            <w:pPr>
              <w:spacing w:after="0"/>
              <w:rPr>
                <w:sz w:val="16"/>
                <w:szCs w:val="16"/>
                <w:color w:val="auto"/>
              </w:rPr>
            </w:pPr>
          </w:p>
        </w:tc>
        <w:tc>
          <w:tcPr>
            <w:tcW w:w="1100" w:type="dxa"/>
            <w:vAlign w:val="bottom"/>
            <w:tcBorders>
              <w:top w:val="single" w:sz="8" w:color="E3EAEE"/>
            </w:tcBorders>
            <w:vMerge w:val="restart"/>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360" w:type="dxa"/>
            <w:vAlign w:val="bottom"/>
            <w:tcBorders>
              <w:top w:val="single" w:sz="8" w:color="E3EAEE"/>
            </w:tcBorders>
            <w:shd w:val="clear" w:color="auto" w:fill="E3EAEE"/>
          </w:tcPr>
          <w:p>
            <w:pPr>
              <w:spacing w:after="0"/>
              <w:rPr>
                <w:sz w:val="16"/>
                <w:szCs w:val="16"/>
                <w:color w:val="auto"/>
              </w:rPr>
            </w:pPr>
          </w:p>
        </w:tc>
        <w:tc>
          <w:tcPr>
            <w:tcW w:w="1040" w:type="dxa"/>
            <w:vAlign w:val="bottom"/>
            <w:tcBorders>
              <w:top w:val="single" w:sz="8" w:color="E3EAEE"/>
            </w:tcBorders>
            <w:vMerge w:val="restart"/>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240" w:type="dxa"/>
            <w:vAlign w:val="bottom"/>
            <w:tcBorders>
              <w:top w:val="single" w:sz="8" w:color="E3EAEE"/>
            </w:tcBorders>
            <w:shd w:val="clear" w:color="auto" w:fill="E3EAEE"/>
          </w:tcPr>
          <w:p>
            <w:pPr>
              <w:spacing w:after="0"/>
              <w:rPr>
                <w:sz w:val="16"/>
                <w:szCs w:val="16"/>
                <w:color w:val="auto"/>
              </w:rPr>
            </w:pPr>
          </w:p>
        </w:tc>
        <w:tc>
          <w:tcPr>
            <w:tcW w:w="1300" w:type="dxa"/>
            <w:vAlign w:val="bottom"/>
            <w:tcBorders>
              <w:top w:val="single" w:sz="8" w:color="E3EAEE"/>
            </w:tcBorders>
            <w:vMerge w:val="restart"/>
            <w:shd w:val="clear" w:color="auto" w:fill="E3EAEE"/>
          </w:tcPr>
          <w:p>
            <w:pPr>
              <w:ind w:left="920"/>
              <w:spacing w:after="0"/>
              <w:rPr>
                <w:sz w:val="20"/>
                <w:szCs w:val="20"/>
                <w:color w:val="auto"/>
              </w:rPr>
            </w:pPr>
            <w:r>
              <w:rPr>
                <w:rFonts w:ascii="Arial" w:cs="Arial" w:eastAsia="Arial" w:hAnsi="Arial"/>
                <w:sz w:val="16"/>
                <w:szCs w:val="16"/>
                <w:color w:val="3E474E"/>
              </w:rPr>
              <w:t>—</w:t>
            </w:r>
          </w:p>
        </w:tc>
        <w:tc>
          <w:tcPr>
            <w:tcW w:w="1200" w:type="dxa"/>
            <w:vAlign w:val="bottom"/>
            <w:tcBorders>
              <w:top w:val="single" w:sz="8" w:color="E3EAEE"/>
            </w:tcBorders>
            <w:vMerge w:val="restart"/>
            <w:shd w:val="clear" w:color="auto" w:fill="E3EAEE"/>
          </w:tcPr>
          <w:p>
            <w:pPr>
              <w:jc w:val="right"/>
              <w:ind w:right="219"/>
              <w:spacing w:after="0"/>
              <w:rPr>
                <w:sz w:val="20"/>
                <w:szCs w:val="20"/>
                <w:color w:val="auto"/>
              </w:rPr>
            </w:pPr>
            <w:r>
              <w:rPr>
                <w:rFonts w:ascii="Arial" w:cs="Arial" w:eastAsia="Arial" w:hAnsi="Arial"/>
                <w:sz w:val="16"/>
                <w:szCs w:val="16"/>
                <w:color w:val="3E474E"/>
              </w:rPr>
              <w:t>—</w:t>
            </w:r>
          </w:p>
        </w:tc>
        <w:tc>
          <w:tcPr>
            <w:tcW w:w="1080" w:type="dxa"/>
            <w:vAlign w:val="bottom"/>
            <w:tcBorders>
              <w:top w:val="single" w:sz="8" w:color="E3EAEE"/>
            </w:tcBorders>
            <w:shd w:val="clear" w:color="auto" w:fill="E3EAE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900" w:type="dxa"/>
            <w:vAlign w:val="bottom"/>
            <w:tcBorders>
              <w:bottom w:val="single" w:sz="8" w:color="E3EAEE"/>
            </w:tcBorders>
            <w:shd w:val="clear" w:color="auto" w:fill="E3EAEE"/>
          </w:tcPr>
          <w:p>
            <w:pPr>
              <w:spacing w:after="0"/>
              <w:rPr>
                <w:sz w:val="10"/>
                <w:szCs w:val="10"/>
                <w:color w:val="auto"/>
              </w:rPr>
            </w:pPr>
          </w:p>
        </w:tc>
        <w:tc>
          <w:tcPr>
            <w:tcW w:w="360" w:type="dxa"/>
            <w:vAlign w:val="bottom"/>
            <w:tcBorders>
              <w:bottom w:val="single" w:sz="8" w:color="E3EAEE"/>
            </w:tcBorders>
            <w:shd w:val="clear" w:color="auto" w:fill="E3EAEE"/>
          </w:tcPr>
          <w:p>
            <w:pPr>
              <w:spacing w:after="0"/>
              <w:rPr>
                <w:sz w:val="10"/>
                <w:szCs w:val="10"/>
                <w:color w:val="auto"/>
              </w:rPr>
            </w:pPr>
          </w:p>
        </w:tc>
        <w:tc>
          <w:tcPr>
            <w:tcW w:w="120" w:type="dxa"/>
            <w:vAlign w:val="bottom"/>
            <w:tcBorders>
              <w:bottom w:val="single" w:sz="8" w:color="E3EAEE"/>
            </w:tcBorders>
            <w:shd w:val="clear" w:color="auto" w:fill="E3EAEE"/>
          </w:tcPr>
          <w:p>
            <w:pPr>
              <w:spacing w:after="0"/>
              <w:rPr>
                <w:sz w:val="10"/>
                <w:szCs w:val="10"/>
                <w:color w:val="auto"/>
              </w:rPr>
            </w:pPr>
          </w:p>
        </w:tc>
        <w:tc>
          <w:tcPr>
            <w:tcW w:w="3280" w:type="dxa"/>
            <w:vAlign w:val="bottom"/>
            <w:tcBorders>
              <w:bottom w:val="single" w:sz="8" w:color="E3EAEE"/>
            </w:tcBorders>
            <w:vMerge w:val="continue"/>
            <w:shd w:val="clear" w:color="auto" w:fill="E3EAEE"/>
          </w:tcPr>
          <w:p>
            <w:pPr>
              <w:spacing w:after="0"/>
              <w:rPr>
                <w:sz w:val="10"/>
                <w:szCs w:val="10"/>
                <w:color w:val="auto"/>
              </w:rPr>
            </w:pPr>
          </w:p>
        </w:tc>
        <w:tc>
          <w:tcPr>
            <w:tcW w:w="120" w:type="dxa"/>
            <w:vAlign w:val="bottom"/>
            <w:tcBorders>
              <w:bottom w:val="single" w:sz="8" w:color="E3EAEE"/>
            </w:tcBorders>
            <w:shd w:val="clear" w:color="auto" w:fill="E3EAEE"/>
          </w:tcPr>
          <w:p>
            <w:pPr>
              <w:spacing w:after="0"/>
              <w:rPr>
                <w:sz w:val="10"/>
                <w:szCs w:val="10"/>
                <w:color w:val="auto"/>
              </w:rPr>
            </w:pPr>
          </w:p>
        </w:tc>
        <w:tc>
          <w:tcPr>
            <w:tcW w:w="1100" w:type="dxa"/>
            <w:vAlign w:val="bottom"/>
            <w:tcBorders>
              <w:bottom w:val="single" w:sz="8" w:color="E3EAEE"/>
            </w:tcBorders>
            <w:vMerge w:val="continue"/>
            <w:shd w:val="clear" w:color="auto" w:fill="E3EAEE"/>
          </w:tcPr>
          <w:p>
            <w:pPr>
              <w:spacing w:after="0"/>
              <w:rPr>
                <w:sz w:val="10"/>
                <w:szCs w:val="10"/>
                <w:color w:val="auto"/>
              </w:rPr>
            </w:pPr>
          </w:p>
        </w:tc>
        <w:tc>
          <w:tcPr>
            <w:tcW w:w="360" w:type="dxa"/>
            <w:vAlign w:val="bottom"/>
            <w:tcBorders>
              <w:bottom w:val="single" w:sz="8" w:color="E3EAEE"/>
            </w:tcBorders>
            <w:shd w:val="clear" w:color="auto" w:fill="E3EAEE"/>
          </w:tcPr>
          <w:p>
            <w:pPr>
              <w:spacing w:after="0"/>
              <w:rPr>
                <w:sz w:val="10"/>
                <w:szCs w:val="10"/>
                <w:color w:val="auto"/>
              </w:rPr>
            </w:pPr>
          </w:p>
        </w:tc>
        <w:tc>
          <w:tcPr>
            <w:tcW w:w="1040" w:type="dxa"/>
            <w:vAlign w:val="bottom"/>
            <w:tcBorders>
              <w:bottom w:val="single" w:sz="8" w:color="E3EAEE"/>
            </w:tcBorders>
            <w:vMerge w:val="continue"/>
            <w:shd w:val="clear" w:color="auto" w:fill="E3EAEE"/>
          </w:tcPr>
          <w:p>
            <w:pPr>
              <w:spacing w:after="0"/>
              <w:rPr>
                <w:sz w:val="10"/>
                <w:szCs w:val="10"/>
                <w:color w:val="auto"/>
              </w:rPr>
            </w:pPr>
          </w:p>
        </w:tc>
        <w:tc>
          <w:tcPr>
            <w:tcW w:w="240" w:type="dxa"/>
            <w:vAlign w:val="bottom"/>
            <w:tcBorders>
              <w:bottom w:val="single" w:sz="8" w:color="E3EAEE"/>
            </w:tcBorders>
            <w:shd w:val="clear" w:color="auto" w:fill="E3EAEE"/>
          </w:tcPr>
          <w:p>
            <w:pPr>
              <w:spacing w:after="0"/>
              <w:rPr>
                <w:sz w:val="10"/>
                <w:szCs w:val="10"/>
                <w:color w:val="auto"/>
              </w:rPr>
            </w:pPr>
          </w:p>
        </w:tc>
        <w:tc>
          <w:tcPr>
            <w:tcW w:w="1300" w:type="dxa"/>
            <w:vAlign w:val="bottom"/>
            <w:tcBorders>
              <w:bottom w:val="single" w:sz="8" w:color="E3EAEE"/>
            </w:tcBorders>
            <w:vMerge w:val="continue"/>
            <w:shd w:val="clear" w:color="auto" w:fill="E3EAEE"/>
          </w:tcPr>
          <w:p>
            <w:pPr>
              <w:spacing w:after="0"/>
              <w:rPr>
                <w:sz w:val="10"/>
                <w:szCs w:val="10"/>
                <w:color w:val="auto"/>
              </w:rPr>
            </w:pPr>
          </w:p>
        </w:tc>
        <w:tc>
          <w:tcPr>
            <w:tcW w:w="1200" w:type="dxa"/>
            <w:vAlign w:val="bottom"/>
            <w:tcBorders>
              <w:bottom w:val="single" w:sz="8" w:color="E3EAEE"/>
            </w:tcBorders>
            <w:vMerge w:val="continue"/>
            <w:shd w:val="clear" w:color="auto" w:fill="E3EAEE"/>
          </w:tcPr>
          <w:p>
            <w:pPr>
              <w:spacing w:after="0"/>
              <w:rPr>
                <w:sz w:val="10"/>
                <w:szCs w:val="10"/>
                <w:color w:val="auto"/>
              </w:rPr>
            </w:pPr>
          </w:p>
        </w:tc>
        <w:tc>
          <w:tcPr>
            <w:tcW w:w="1080" w:type="dxa"/>
            <w:vAlign w:val="bottom"/>
            <w:tcBorders>
              <w:bottom w:val="single" w:sz="8" w:color="E3EAEE"/>
            </w:tcBorders>
            <w:shd w:val="clear" w:color="auto" w:fill="E3EAE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900" w:type="dxa"/>
            <w:vAlign w:val="bottom"/>
            <w:tcBorders>
              <w:top w:val="single" w:sz="8" w:color="E3EAEE"/>
            </w:tcBorders>
            <w:shd w:val="clear" w:color="auto" w:fill="E3EAEE"/>
          </w:tcPr>
          <w:p>
            <w:pPr>
              <w:spacing w:after="0"/>
              <w:rPr>
                <w:sz w:val="20"/>
                <w:szCs w:val="20"/>
                <w:color w:val="auto"/>
              </w:rPr>
            </w:pPr>
          </w:p>
        </w:tc>
        <w:tc>
          <w:tcPr>
            <w:tcW w:w="360" w:type="dxa"/>
            <w:vAlign w:val="bottom"/>
            <w:tcBorders>
              <w:top w:val="single" w:sz="8" w:color="E3EAEE"/>
            </w:tcBorders>
            <w:shd w:val="clear" w:color="auto" w:fill="E3EAEE"/>
          </w:tcPr>
          <w:p>
            <w:pPr>
              <w:spacing w:after="0"/>
              <w:rPr>
                <w:sz w:val="20"/>
                <w:szCs w:val="20"/>
                <w:color w:val="auto"/>
              </w:rPr>
            </w:pPr>
          </w:p>
        </w:tc>
        <w:tc>
          <w:tcPr>
            <w:tcW w:w="120" w:type="dxa"/>
            <w:vAlign w:val="bottom"/>
            <w:tcBorders>
              <w:top w:val="single" w:sz="8" w:color="E3EAEE"/>
            </w:tcBorders>
            <w:shd w:val="clear" w:color="auto" w:fill="E3EAEE"/>
          </w:tcPr>
          <w:p>
            <w:pPr>
              <w:spacing w:after="0"/>
              <w:rPr>
                <w:sz w:val="20"/>
                <w:szCs w:val="20"/>
                <w:color w:val="auto"/>
              </w:rPr>
            </w:pPr>
          </w:p>
        </w:tc>
        <w:tc>
          <w:tcPr>
            <w:tcW w:w="3280" w:type="dxa"/>
            <w:vAlign w:val="bottom"/>
            <w:tcBorders>
              <w:top w:val="single" w:sz="8" w:color="1478A3"/>
            </w:tcBorders>
            <w:shd w:val="clear" w:color="auto" w:fill="E3EAEE"/>
          </w:tcPr>
          <w:p>
            <w:pPr>
              <w:jc w:val="center"/>
              <w:spacing w:after="0" w:line="237" w:lineRule="exact"/>
              <w:rPr>
                <w:sz w:val="20"/>
                <w:szCs w:val="20"/>
                <w:color w:val="auto"/>
              </w:rPr>
            </w:pPr>
            <w:r>
              <w:rPr>
                <w:rFonts w:ascii="Arial" w:cs="Arial" w:eastAsia="Arial" w:hAnsi="Arial"/>
                <w:sz w:val="16"/>
                <w:szCs w:val="16"/>
                <w:color w:val="3E474E"/>
                <w:w w:val="98"/>
              </w:rPr>
              <w:t>Accelerated Vesting of Stock Awards</w:t>
            </w:r>
            <w:r>
              <w:rPr>
                <w:rFonts w:ascii="Arial" w:cs="Arial" w:eastAsia="Arial" w:hAnsi="Arial"/>
                <w:sz w:val="21"/>
                <w:szCs w:val="21"/>
                <w:color w:val="3E474E"/>
                <w:w w:val="98"/>
                <w:vertAlign w:val="superscript"/>
              </w:rPr>
              <w:t>(4)</w:t>
            </w:r>
          </w:p>
        </w:tc>
        <w:tc>
          <w:tcPr>
            <w:tcW w:w="120" w:type="dxa"/>
            <w:vAlign w:val="bottom"/>
            <w:tcBorders>
              <w:top w:val="single" w:sz="8" w:color="E3EAEE"/>
            </w:tcBorders>
            <w:shd w:val="clear" w:color="auto" w:fill="E3EAEE"/>
          </w:tcPr>
          <w:p>
            <w:pPr>
              <w:spacing w:after="0"/>
              <w:rPr>
                <w:sz w:val="20"/>
                <w:szCs w:val="20"/>
                <w:color w:val="auto"/>
              </w:rPr>
            </w:pPr>
          </w:p>
        </w:tc>
        <w:tc>
          <w:tcPr>
            <w:tcW w:w="1100" w:type="dxa"/>
            <w:vAlign w:val="bottom"/>
            <w:tcBorders>
              <w:top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360" w:type="dxa"/>
            <w:vAlign w:val="bottom"/>
            <w:tcBorders>
              <w:top w:val="single" w:sz="8" w:color="E3EAEE"/>
            </w:tcBorders>
            <w:shd w:val="clear" w:color="auto" w:fill="E3EAEE"/>
          </w:tcPr>
          <w:p>
            <w:pPr>
              <w:spacing w:after="0"/>
              <w:rPr>
                <w:sz w:val="20"/>
                <w:szCs w:val="20"/>
                <w:color w:val="auto"/>
              </w:rPr>
            </w:pPr>
          </w:p>
        </w:tc>
        <w:tc>
          <w:tcPr>
            <w:tcW w:w="1040" w:type="dxa"/>
            <w:vAlign w:val="bottom"/>
            <w:tcBorders>
              <w:top w:val="single" w:sz="8" w:color="E3EAEE"/>
            </w:tcBorders>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240" w:type="dxa"/>
            <w:vAlign w:val="bottom"/>
            <w:tcBorders>
              <w:top w:val="single" w:sz="8" w:color="E3EAEE"/>
            </w:tcBorders>
            <w:shd w:val="clear" w:color="auto" w:fill="E3EAEE"/>
          </w:tcPr>
          <w:p>
            <w:pPr>
              <w:spacing w:after="0"/>
              <w:rPr>
                <w:sz w:val="20"/>
                <w:szCs w:val="20"/>
                <w:color w:val="auto"/>
              </w:rPr>
            </w:pPr>
          </w:p>
        </w:tc>
        <w:tc>
          <w:tcPr>
            <w:tcW w:w="1300" w:type="dxa"/>
            <w:vAlign w:val="bottom"/>
            <w:tcBorders>
              <w:top w:val="single" w:sz="8" w:color="E3EAEE"/>
            </w:tcBorders>
            <w:shd w:val="clear" w:color="auto" w:fill="E3EAEE"/>
          </w:tcPr>
          <w:p>
            <w:pPr>
              <w:ind w:left="920"/>
              <w:spacing w:after="0"/>
              <w:rPr>
                <w:sz w:val="20"/>
                <w:szCs w:val="20"/>
                <w:color w:val="auto"/>
              </w:rPr>
            </w:pPr>
            <w:r>
              <w:rPr>
                <w:rFonts w:ascii="Arial" w:cs="Arial" w:eastAsia="Arial" w:hAnsi="Arial"/>
                <w:sz w:val="16"/>
                <w:szCs w:val="16"/>
                <w:color w:val="3E474E"/>
              </w:rPr>
              <w:t>—</w:t>
            </w:r>
          </w:p>
        </w:tc>
        <w:tc>
          <w:tcPr>
            <w:tcW w:w="1200" w:type="dxa"/>
            <w:vAlign w:val="bottom"/>
            <w:tcBorders>
              <w:top w:val="single" w:sz="8" w:color="E3EAEE"/>
            </w:tcBorders>
            <w:shd w:val="clear" w:color="auto" w:fill="E3EAEE"/>
          </w:tcPr>
          <w:p>
            <w:pPr>
              <w:jc w:val="right"/>
              <w:ind w:right="219"/>
              <w:spacing w:after="0"/>
              <w:rPr>
                <w:sz w:val="20"/>
                <w:szCs w:val="20"/>
                <w:color w:val="auto"/>
              </w:rPr>
            </w:pPr>
            <w:r>
              <w:rPr>
                <w:rFonts w:ascii="Arial" w:cs="Arial" w:eastAsia="Arial" w:hAnsi="Arial"/>
                <w:sz w:val="16"/>
                <w:szCs w:val="16"/>
                <w:color w:val="3E474E"/>
              </w:rPr>
              <w:t>—</w:t>
            </w:r>
          </w:p>
        </w:tc>
        <w:tc>
          <w:tcPr>
            <w:tcW w:w="1080" w:type="dxa"/>
            <w:vAlign w:val="bottom"/>
            <w:tcBorders>
              <w:top w:val="single" w:sz="8" w:color="E3EAEE"/>
            </w:tcBorders>
            <w:shd w:val="clear" w:color="auto" w:fill="E3EAEE"/>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right="620" w:hanging="132"/>
        <w:spacing w:after="0" w:line="246" w:lineRule="auto"/>
        <w:tabs>
          <w:tab w:leader="none" w:pos="133" w:val="left"/>
        </w:tabs>
        <w:numPr>
          <w:ilvl w:val="0"/>
          <w:numId w:val="86"/>
        </w:numPr>
        <w:rPr>
          <w:rFonts w:ascii="Arial" w:cs="Arial" w:eastAsia="Arial" w:hAnsi="Arial"/>
          <w:sz w:val="15"/>
          <w:szCs w:val="15"/>
          <w:color w:val="3E474E"/>
          <w:vertAlign w:val="superscript"/>
        </w:rPr>
      </w:pPr>
      <w:r>
        <w:rPr>
          <w:rFonts w:ascii="Arial" w:cs="Arial" w:eastAsia="Arial" w:hAnsi="Arial"/>
          <w:sz w:val="12"/>
          <w:szCs w:val="12"/>
          <w:color w:val="3E474E"/>
        </w:rPr>
        <w:t>Represents amounts that may be payable for any base salary or cash bonus that has been earned but remains unpaid and any accrued but unused vacation pay, in each case at the time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649605</wp:posOffset>
            </wp:positionV>
            <wp:extent cx="8255"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649605</wp:posOffset>
            </wp:positionV>
            <wp:extent cx="8255"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54</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color w:val="747C83"/>
        </w:rPr>
        <w:t>Compensation Table and Narratives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right="20" w:hanging="132"/>
        <w:spacing w:after="0" w:line="237" w:lineRule="auto"/>
        <w:tabs>
          <w:tab w:leader="none" w:pos="145" w:val="left"/>
        </w:tabs>
        <w:numPr>
          <w:ilvl w:val="0"/>
          <w:numId w:val="87"/>
        </w:numPr>
        <w:rPr>
          <w:rFonts w:ascii="Arial" w:cs="Arial" w:eastAsia="Arial" w:hAnsi="Arial"/>
          <w:sz w:val="16"/>
          <w:szCs w:val="16"/>
          <w:color w:val="3E474E"/>
          <w:vertAlign w:val="superscript"/>
        </w:rPr>
      </w:pPr>
      <w:r>
        <w:rPr>
          <w:rFonts w:ascii="Arial" w:cs="Arial" w:eastAsia="Arial" w:hAnsi="Arial"/>
          <w:sz w:val="13"/>
          <w:szCs w:val="13"/>
          <w:color w:val="3E474E"/>
        </w:rPr>
        <w:t>In the event the NEO is terminated without Cause or resigns for Good Reason more than 90 days prior to the occurrence of a Change of Control or more than one year after the occurrence of a Change of Control, the NEO will receive a lump sum amount in cash equal to: (i) the applicable multiple of the NEO's base salary as in effect on the date of termination, (ii) the applicable multiple of the NEO's bonus for the year in which employment is terminated; (iii) the pro rata amount (based on the portion of the calendar year that the NEO was employed by the Company) of the NEO's target bonus for the year in which employment is terminated; (iv) the applicable multiple of the annual COBRA premium for the participant’s health plan coverage; and (v) the applicable multiple of the annual employer premium for the participant’s life insurance, long-term disability insurance, and accidental death and dismemberment insurance. The applicable multiple for our NEOs is 3x for Mr. Tibbetts and 2x for Mr. Barnes-Smith as of December 31, 2025.</w:t>
      </w:r>
    </w:p>
    <w:p>
      <w:pPr>
        <w:spacing w:after="0" w:line="38" w:lineRule="exact"/>
        <w:rPr>
          <w:rFonts w:ascii="Arial" w:cs="Arial" w:eastAsia="Arial" w:hAnsi="Arial"/>
          <w:sz w:val="16"/>
          <w:szCs w:val="16"/>
          <w:color w:val="3E474E"/>
          <w:vertAlign w:val="superscript"/>
        </w:rPr>
      </w:pPr>
    </w:p>
    <w:p>
      <w:pPr>
        <w:ind w:left="140" w:right="20" w:hanging="132"/>
        <w:spacing w:after="0" w:line="237" w:lineRule="auto"/>
        <w:tabs>
          <w:tab w:leader="none" w:pos="145" w:val="left"/>
        </w:tabs>
        <w:numPr>
          <w:ilvl w:val="0"/>
          <w:numId w:val="87"/>
        </w:numPr>
        <w:rPr>
          <w:rFonts w:ascii="Arial" w:cs="Arial" w:eastAsia="Arial" w:hAnsi="Arial"/>
          <w:sz w:val="16"/>
          <w:szCs w:val="16"/>
          <w:color w:val="3E474E"/>
          <w:vertAlign w:val="superscript"/>
        </w:rPr>
      </w:pPr>
      <w:r>
        <w:rPr>
          <w:rFonts w:ascii="Arial" w:cs="Arial" w:eastAsia="Arial" w:hAnsi="Arial"/>
          <w:sz w:val="13"/>
          <w:szCs w:val="13"/>
          <w:color w:val="3E474E"/>
        </w:rPr>
        <w:t>In the event the NEO is terminated without Cause or resigns for Good Reason within 90 days prior to the occurrence of a Change of Control or within one year after the occurrence of a Change of Control, the NEO will receive a lump sum amount in cash equal to: (i) the applicable multiple of the NEO's base salary as in effect on the date of termination; (ii) the applicable multiple of the NEO's bonus for the year in which employment is terminated; (iii) the pro rata amount (based on the portion of the calendar year that the NEO was employed by the Company) of the NEO's target bonus for the year in which employment is terminated; (iv) the applicable multiple of the annual COBRA premium for the participant’s health plan coverage; and (v) the applicable multiple of the annual employer premium for the participant’s life insurance, long-term disability insurance, and accidental death and dismemberment insurance. The applicable multiple for our NEOs is 3x for Mr.Tibbetts, and 2.5x for Mr. Barnes-Smith as of December 31, 2025.</w:t>
      </w:r>
    </w:p>
    <w:p>
      <w:pPr>
        <w:spacing w:after="0" w:line="38" w:lineRule="exact"/>
        <w:rPr>
          <w:rFonts w:ascii="Arial" w:cs="Arial" w:eastAsia="Arial" w:hAnsi="Arial"/>
          <w:sz w:val="16"/>
          <w:szCs w:val="16"/>
          <w:color w:val="3E474E"/>
          <w:vertAlign w:val="superscript"/>
        </w:rPr>
      </w:pPr>
    </w:p>
    <w:p>
      <w:pPr>
        <w:ind w:left="140" w:right="100" w:hanging="132"/>
        <w:spacing w:after="0" w:line="260" w:lineRule="auto"/>
        <w:tabs>
          <w:tab w:leader="none" w:pos="133" w:val="left"/>
        </w:tabs>
        <w:numPr>
          <w:ilvl w:val="0"/>
          <w:numId w:val="87"/>
        </w:numPr>
        <w:rPr>
          <w:rFonts w:ascii="Arial" w:cs="Arial" w:eastAsia="Arial" w:hAnsi="Arial"/>
          <w:sz w:val="15"/>
          <w:szCs w:val="15"/>
          <w:color w:val="3E474E"/>
          <w:vertAlign w:val="superscript"/>
        </w:rPr>
      </w:pPr>
      <w:r>
        <w:rPr>
          <w:rFonts w:ascii="Arial" w:cs="Arial" w:eastAsia="Arial" w:hAnsi="Arial"/>
          <w:sz w:val="12"/>
          <w:szCs w:val="12"/>
          <w:color w:val="3E474E"/>
        </w:rPr>
        <w:t>Reflects the value equal to the number of restricted shares, unvested Time-Based LTIP Units, and unvested Performance-Based LTIP Units that would vest under the applicable scenario for the NEO as of December 31, 2025 multiplied by $6.62, which was the closing price of our common stock on the NYSE as of December 31, 2025. For scenarios where the amount of Performance-based LTIP Units that would vest would vary depending on the actual results of the applicable performance metrics of the award, it is assumed the Target Award level (typically 50% of the total units awarded) is the amount of units that would vest.</w:t>
      </w:r>
    </w:p>
    <w:p>
      <w:pPr>
        <w:spacing w:after="0" w:line="26" w:lineRule="exact"/>
        <w:rPr>
          <w:rFonts w:ascii="Arial" w:cs="Arial" w:eastAsia="Arial" w:hAnsi="Arial"/>
          <w:sz w:val="15"/>
          <w:szCs w:val="15"/>
          <w:color w:val="3E474E"/>
          <w:vertAlign w:val="superscript"/>
        </w:rPr>
      </w:pPr>
    </w:p>
    <w:p>
      <w:pPr>
        <w:ind w:left="180" w:right="20" w:hanging="172"/>
        <w:spacing w:after="0" w:line="230" w:lineRule="auto"/>
        <w:tabs>
          <w:tab w:leader="none" w:pos="140" w:val="left"/>
        </w:tabs>
        <w:numPr>
          <w:ilvl w:val="0"/>
          <w:numId w:val="87"/>
        </w:numPr>
        <w:rPr>
          <w:rFonts w:ascii="Arial" w:cs="Arial" w:eastAsia="Arial" w:hAnsi="Arial"/>
          <w:sz w:val="16"/>
          <w:szCs w:val="16"/>
          <w:color w:val="3E474E"/>
          <w:vertAlign w:val="superscript"/>
        </w:rPr>
      </w:pPr>
      <w:r>
        <w:rPr>
          <w:rFonts w:ascii="Arial" w:cs="Arial" w:eastAsia="Arial" w:hAnsi="Arial"/>
          <w:sz w:val="13"/>
          <w:szCs w:val="13"/>
          <w:color w:val="3E474E"/>
        </w:rPr>
        <w:t>We terminated the employment of Mr. Apperson effective May 31, 2025 (the “Separation Date”), without cause. Accordingly, Mr. Apperson was not eligible for payments upon termination as of December 31, 2025. In connection with the termination of Mr. Apperson’s employment, we and Mr. Apperson entered into the Separation Agreement pursuant to which Mr. Apperson is entitled to severance payments and other benefits that are consistent with the compensation and other benefits applicable to a Tier II participant under the Severance Plan, including the following: (i) a cash payment of $66,521, which reflects the pro-rata amount (based on the portion of 2025 that Mr. Apperson was employed by the Company) of Mr. Apperson’s target bonus under the 2025 STIP, (ii) $875,000, which is equal to two times Mr. Apperson's salary as of the Separation Date, (iii) $319,300, which is equal to two times Mr. Apperson's target bonus under the 2025 STIP and (iv) $41,637, which is equal to two times the sum of (1) Mr. Apperson’s annual COBRA premium for health plan coverage and (ii) Mr. Apperson's annual premium for life insurance, long-term disability insurance and accidental death and dismemberment insurance, in each case as in effect on the Separation Date. Additionally, pursuant to the Separation Agreement, the Company accelerated the vesting of an aggregate of 25,136 unvested shares of restricted stock and 12,346 unvested Time-Based LTIP Units held by Mr. Apperson, which represented all of Mr. Apperson’s outstanding unvested equity awards.</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1478A3"/>
        </w:rPr>
        <w:t>CEO Pay Ratio</w:t>
      </w:r>
    </w:p>
    <w:p>
      <w:pPr>
        <w:spacing w:after="0" w:line="313"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3E474E"/>
        </w:rPr>
        <w:t xml:space="preserve">We have estimated the ratio of our 2025 CEO's total compensation to the median annual total compensation of all employees (except CEO). In determining the median employee, we considered taxable compensation totals in 2024. We identified the "Median Employee" based on the taxable compensation of all full-time, part-time, and temporary employees employed by the Company on December 31, 2025. Then, we calculated the Median Employee's compensation under the Summary Compensation Table rules. Our CEO in 2025, Mr. Tibbetts, had an annual total compensation of </w:t>
      </w:r>
      <w:r>
        <w:rPr>
          <w:rFonts w:ascii="Arial" w:cs="Arial" w:eastAsia="Arial" w:hAnsi="Arial"/>
          <w:sz w:val="16"/>
          <w:szCs w:val="16"/>
          <w:b w:val="1"/>
          <w:bCs w:val="1"/>
          <w:color w:val="3E474E"/>
        </w:rPr>
        <w:t>$6,091,906</w:t>
      </w:r>
      <w:r>
        <w:rPr>
          <w:rFonts w:ascii="Arial" w:cs="Arial" w:eastAsia="Arial" w:hAnsi="Arial"/>
          <w:sz w:val="16"/>
          <w:szCs w:val="16"/>
          <w:color w:val="3E474E"/>
        </w:rPr>
        <w:t xml:space="preserve"> and our Median Employee had an annual total compensation of </w:t>
      </w:r>
      <w:r>
        <w:rPr>
          <w:rFonts w:ascii="Arial" w:cs="Arial" w:eastAsia="Arial" w:hAnsi="Arial"/>
          <w:sz w:val="16"/>
          <w:szCs w:val="16"/>
          <w:b w:val="1"/>
          <w:bCs w:val="1"/>
          <w:color w:val="3E474E"/>
        </w:rPr>
        <w:t>$144,645</w:t>
      </w:r>
      <w:r>
        <w:rPr>
          <w:rFonts w:ascii="Arial" w:cs="Arial" w:eastAsia="Arial" w:hAnsi="Arial"/>
          <w:sz w:val="16"/>
          <w:szCs w:val="16"/>
          <w:color w:val="3E474E"/>
        </w:rPr>
        <w:t>. Therefore, we estimate that our CEO's annual total compensation in 2025 is 42.12 to 1.</w:t>
      </w:r>
    </w:p>
    <w:p>
      <w:pPr>
        <w:spacing w:after="0" w:line="20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3E474E"/>
        </w:rPr>
        <w:t>A reconciliation of Total Compensation per the Summary Compensation Table to Compensation Actually Paid, computed in accordance with Item 402(v) of Regulation S-K, is included within the following section.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1478A3"/>
        </w:rPr>
        <w:t>Pay Versus Performance</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3E474E"/>
        </w:rPr>
        <w:t xml:space="preserve">As required by Section 953(a) of the Dodd-Frank Wall Street Reform and Consumer Protection Act, and Item 402(v) of Regulation S-K, we are providing the following information about the relationship between executive compensation actually paid (as defined in Item 402(v) of Regulation S-K) and certain financial performance of the Company. The Compensation Committee did not consider the pay versus performance disclosure when making its incentive compensation decisions. For further information about how we align executive compensation with the Company’s performance, see “Compensation Discussion and Analysis” on page </w:t>
      </w:r>
      <w:r>
        <w:rPr>
          <w:rFonts w:ascii="Arial" w:cs="Arial" w:eastAsia="Arial" w:hAnsi="Arial"/>
          <w:sz w:val="16"/>
          <w:szCs w:val="16"/>
          <w:u w:val="single" w:color="auto"/>
          <w:color w:val="0000FF"/>
        </w:rPr>
        <w:t>40</w:t>
      </w:r>
      <w:r>
        <w:rPr>
          <w:rFonts w:ascii="Arial" w:cs="Arial" w:eastAsia="Arial" w:hAnsi="Arial"/>
          <w:sz w:val="16"/>
          <w:szCs w:val="16"/>
          <w:color w:val="3E474E"/>
        </w:rPr>
        <w:t xml:space="preserve"> above. The amounts in the table below are calculated in accordance with SEC rules and do not represent amounts earned or realized by NEOs, including with respect to RSUs, Time-Based LTIP units, and Performance-Based LTIP units. See the “2025 Option Exercises and Stock Vested” table on page </w:t>
      </w:r>
      <w:r>
        <w:rPr>
          <w:rFonts w:ascii="Arial" w:cs="Arial" w:eastAsia="Arial" w:hAnsi="Arial"/>
          <w:sz w:val="16"/>
          <w:szCs w:val="16"/>
          <w:u w:val="single" w:color="auto"/>
          <w:color w:val="0000FF"/>
        </w:rPr>
        <w:t>52</w:t>
      </w:r>
      <w:r>
        <w:rPr>
          <w:rFonts w:ascii="Arial" w:cs="Arial" w:eastAsia="Arial" w:hAnsi="Arial"/>
          <w:sz w:val="16"/>
          <w:szCs w:val="16"/>
          <w:color w:val="3E474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55</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747C83"/>
        </w:rPr>
        <w:t>Compensation Table and Narratives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shd w:val="clear" w:color="auto" w:fill="E3EAEE"/>
          </w:tcPr>
          <w:p>
            <w:pPr>
              <w:spacing w:after="0"/>
              <w:rPr>
                <w:sz w:val="20"/>
                <w:szCs w:val="20"/>
                <w:color w:val="auto"/>
              </w:rPr>
            </w:pPr>
          </w:p>
        </w:tc>
        <w:tc>
          <w:tcPr>
            <w:tcW w:w="1460" w:type="dxa"/>
            <w:vAlign w:val="bottom"/>
            <w:shd w:val="clear" w:color="auto" w:fill="E3EAEE"/>
          </w:tcPr>
          <w:p>
            <w:pPr>
              <w:spacing w:after="0"/>
              <w:rPr>
                <w:sz w:val="20"/>
                <w:szCs w:val="20"/>
                <w:color w:val="auto"/>
              </w:rPr>
            </w:pPr>
          </w:p>
        </w:tc>
        <w:tc>
          <w:tcPr>
            <w:tcW w:w="1400" w:type="dxa"/>
            <w:vAlign w:val="bottom"/>
            <w:shd w:val="clear" w:color="auto" w:fill="E3EAEE"/>
          </w:tcPr>
          <w:p>
            <w:pPr>
              <w:spacing w:after="0"/>
              <w:rPr>
                <w:sz w:val="20"/>
                <w:szCs w:val="20"/>
                <w:color w:val="auto"/>
              </w:rPr>
            </w:pPr>
          </w:p>
        </w:tc>
        <w:tc>
          <w:tcPr>
            <w:tcW w:w="1380" w:type="dxa"/>
            <w:vAlign w:val="bottom"/>
            <w:shd w:val="clear" w:color="auto" w:fill="E3EAEE"/>
          </w:tcPr>
          <w:p>
            <w:pPr>
              <w:spacing w:after="0"/>
              <w:rPr>
                <w:sz w:val="20"/>
                <w:szCs w:val="20"/>
                <w:color w:val="auto"/>
              </w:rPr>
            </w:pPr>
          </w:p>
        </w:tc>
        <w:tc>
          <w:tcPr>
            <w:tcW w:w="1280" w:type="dxa"/>
            <w:vAlign w:val="bottom"/>
            <w:shd w:val="clear" w:color="auto" w:fill="E3EAEE"/>
          </w:tcPr>
          <w:p>
            <w:pPr>
              <w:spacing w:after="0"/>
              <w:rPr>
                <w:sz w:val="20"/>
                <w:szCs w:val="20"/>
                <w:color w:val="auto"/>
              </w:rPr>
            </w:pPr>
          </w:p>
        </w:tc>
        <w:tc>
          <w:tcPr>
            <w:tcW w:w="1180" w:type="dxa"/>
            <w:vAlign w:val="bottom"/>
            <w:shd w:val="clear" w:color="auto" w:fill="E3EAEE"/>
          </w:tcPr>
          <w:p>
            <w:pPr>
              <w:spacing w:after="0"/>
              <w:rPr>
                <w:sz w:val="20"/>
                <w:szCs w:val="20"/>
                <w:color w:val="auto"/>
              </w:rPr>
            </w:pPr>
          </w:p>
        </w:tc>
        <w:tc>
          <w:tcPr>
            <w:tcW w:w="1360" w:type="dxa"/>
            <w:vAlign w:val="bottom"/>
            <w:shd w:val="clear" w:color="auto" w:fill="E3EAEE"/>
          </w:tcPr>
          <w:p>
            <w:pPr>
              <w:spacing w:after="0"/>
              <w:rPr>
                <w:sz w:val="20"/>
                <w:szCs w:val="20"/>
                <w:color w:val="auto"/>
              </w:rPr>
            </w:pPr>
          </w:p>
        </w:tc>
        <w:tc>
          <w:tcPr>
            <w:tcW w:w="1080" w:type="dxa"/>
            <w:vAlign w:val="bottom"/>
            <w:shd w:val="clear" w:color="auto" w:fill="E3EAEE"/>
          </w:tcPr>
          <w:p>
            <w:pPr>
              <w:spacing w:after="0"/>
              <w:rPr>
                <w:sz w:val="20"/>
                <w:szCs w:val="20"/>
                <w:color w:val="auto"/>
              </w:rPr>
            </w:pPr>
          </w:p>
        </w:tc>
        <w:tc>
          <w:tcPr>
            <w:tcW w:w="11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Company</w:t>
            </w:r>
          </w:p>
        </w:tc>
        <w:tc>
          <w:tcPr>
            <w:tcW w:w="0" w:type="dxa"/>
            <w:vAlign w:val="bottom"/>
          </w:tcPr>
          <w:p>
            <w:pPr>
              <w:spacing w:after="0"/>
              <w:rPr>
                <w:sz w:val="1"/>
                <w:szCs w:val="1"/>
                <w:color w:val="auto"/>
              </w:rPr>
            </w:pPr>
          </w:p>
        </w:tc>
      </w:tr>
      <w:tr>
        <w:trPr>
          <w:trHeight w:val="176"/>
        </w:trPr>
        <w:tc>
          <w:tcPr>
            <w:tcW w:w="920" w:type="dxa"/>
            <w:vAlign w:val="bottom"/>
            <w:shd w:val="clear" w:color="auto" w:fill="E3EAEE"/>
          </w:tcPr>
          <w:p>
            <w:pPr>
              <w:spacing w:after="0"/>
              <w:rPr>
                <w:sz w:val="15"/>
                <w:szCs w:val="15"/>
                <w:color w:val="auto"/>
              </w:rPr>
            </w:pPr>
          </w:p>
        </w:tc>
        <w:tc>
          <w:tcPr>
            <w:tcW w:w="1460" w:type="dxa"/>
            <w:vAlign w:val="bottom"/>
            <w:shd w:val="clear" w:color="auto" w:fill="E3EAEE"/>
          </w:tcPr>
          <w:p>
            <w:pPr>
              <w:spacing w:after="0"/>
              <w:rPr>
                <w:sz w:val="15"/>
                <w:szCs w:val="15"/>
                <w:color w:val="auto"/>
              </w:rPr>
            </w:pPr>
          </w:p>
        </w:tc>
        <w:tc>
          <w:tcPr>
            <w:tcW w:w="1400" w:type="dxa"/>
            <w:vAlign w:val="bottom"/>
            <w:shd w:val="clear" w:color="auto" w:fill="E3EAEE"/>
          </w:tcPr>
          <w:p>
            <w:pPr>
              <w:spacing w:after="0"/>
              <w:rPr>
                <w:sz w:val="15"/>
                <w:szCs w:val="15"/>
                <w:color w:val="auto"/>
              </w:rPr>
            </w:pPr>
          </w:p>
        </w:tc>
        <w:tc>
          <w:tcPr>
            <w:tcW w:w="1380" w:type="dxa"/>
            <w:vAlign w:val="bottom"/>
            <w:shd w:val="clear" w:color="auto" w:fill="E3EAEE"/>
          </w:tcPr>
          <w:p>
            <w:pPr>
              <w:spacing w:after="0"/>
              <w:rPr>
                <w:sz w:val="15"/>
                <w:szCs w:val="15"/>
                <w:color w:val="auto"/>
              </w:rPr>
            </w:pPr>
          </w:p>
        </w:tc>
        <w:tc>
          <w:tcPr>
            <w:tcW w:w="1280" w:type="dxa"/>
            <w:vAlign w:val="bottom"/>
            <w:shd w:val="clear" w:color="auto" w:fill="E3EAEE"/>
          </w:tcPr>
          <w:p>
            <w:pPr>
              <w:spacing w:after="0"/>
              <w:rPr>
                <w:sz w:val="15"/>
                <w:szCs w:val="15"/>
                <w:color w:val="auto"/>
              </w:rPr>
            </w:pPr>
          </w:p>
        </w:tc>
        <w:tc>
          <w:tcPr>
            <w:tcW w:w="1180" w:type="dxa"/>
            <w:vAlign w:val="bottom"/>
            <w:shd w:val="clear" w:color="auto" w:fill="E3EAEE"/>
          </w:tcPr>
          <w:p>
            <w:pPr>
              <w:spacing w:after="0"/>
              <w:rPr>
                <w:sz w:val="15"/>
                <w:szCs w:val="15"/>
                <w:color w:val="auto"/>
              </w:rPr>
            </w:pPr>
          </w:p>
        </w:tc>
        <w:tc>
          <w:tcPr>
            <w:tcW w:w="1360" w:type="dxa"/>
            <w:vAlign w:val="bottom"/>
            <w:shd w:val="clear" w:color="auto" w:fill="E3EAEE"/>
          </w:tcPr>
          <w:p>
            <w:pPr>
              <w:spacing w:after="0"/>
              <w:rPr>
                <w:sz w:val="15"/>
                <w:szCs w:val="15"/>
                <w:color w:val="auto"/>
              </w:rPr>
            </w:pPr>
          </w:p>
        </w:tc>
        <w:tc>
          <w:tcPr>
            <w:tcW w:w="1080" w:type="dxa"/>
            <w:vAlign w:val="bottom"/>
            <w:shd w:val="clear" w:color="auto" w:fill="E3EAEE"/>
          </w:tcPr>
          <w:p>
            <w:pPr>
              <w:spacing w:after="0"/>
              <w:rPr>
                <w:sz w:val="15"/>
                <w:szCs w:val="15"/>
                <w:color w:val="auto"/>
              </w:rPr>
            </w:pPr>
          </w:p>
        </w:tc>
        <w:tc>
          <w:tcPr>
            <w:tcW w:w="11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Selected</w:t>
            </w:r>
          </w:p>
        </w:tc>
        <w:tc>
          <w:tcPr>
            <w:tcW w:w="0" w:type="dxa"/>
            <w:vAlign w:val="bottom"/>
          </w:tcPr>
          <w:p>
            <w:pPr>
              <w:spacing w:after="0"/>
              <w:rPr>
                <w:sz w:val="1"/>
                <w:szCs w:val="1"/>
                <w:color w:val="auto"/>
              </w:rPr>
            </w:pPr>
          </w:p>
        </w:tc>
      </w:tr>
      <w:tr>
        <w:trPr>
          <w:trHeight w:val="162"/>
        </w:trPr>
        <w:tc>
          <w:tcPr>
            <w:tcW w:w="920" w:type="dxa"/>
            <w:vAlign w:val="bottom"/>
            <w:shd w:val="clear" w:color="auto" w:fill="E3EAEE"/>
          </w:tcPr>
          <w:p>
            <w:pPr>
              <w:spacing w:after="0"/>
              <w:rPr>
                <w:sz w:val="14"/>
                <w:szCs w:val="14"/>
                <w:color w:val="auto"/>
              </w:rPr>
            </w:pPr>
          </w:p>
        </w:tc>
        <w:tc>
          <w:tcPr>
            <w:tcW w:w="1460" w:type="dxa"/>
            <w:vAlign w:val="bottom"/>
            <w:shd w:val="clear" w:color="auto" w:fill="E3EAEE"/>
          </w:tcPr>
          <w:p>
            <w:pPr>
              <w:spacing w:after="0"/>
              <w:rPr>
                <w:sz w:val="14"/>
                <w:szCs w:val="14"/>
                <w:color w:val="auto"/>
              </w:rPr>
            </w:pPr>
          </w:p>
        </w:tc>
        <w:tc>
          <w:tcPr>
            <w:tcW w:w="1400" w:type="dxa"/>
            <w:vAlign w:val="bottom"/>
            <w:shd w:val="clear" w:color="auto" w:fill="E3EAEE"/>
          </w:tcPr>
          <w:p>
            <w:pPr>
              <w:spacing w:after="0"/>
              <w:rPr>
                <w:sz w:val="14"/>
                <w:szCs w:val="14"/>
                <w:color w:val="auto"/>
              </w:rPr>
            </w:pPr>
          </w:p>
        </w:tc>
        <w:tc>
          <w:tcPr>
            <w:tcW w:w="1380" w:type="dxa"/>
            <w:vAlign w:val="bottom"/>
            <w:shd w:val="clear" w:color="auto" w:fill="E3EAEE"/>
          </w:tcPr>
          <w:p>
            <w:pPr>
              <w:spacing w:after="0"/>
              <w:rPr>
                <w:sz w:val="14"/>
                <w:szCs w:val="14"/>
                <w:color w:val="auto"/>
              </w:rPr>
            </w:pPr>
          </w:p>
        </w:tc>
        <w:tc>
          <w:tcPr>
            <w:tcW w:w="1280" w:type="dxa"/>
            <w:vAlign w:val="bottom"/>
            <w:shd w:val="clear" w:color="auto" w:fill="E3EAEE"/>
          </w:tcPr>
          <w:p>
            <w:pPr>
              <w:spacing w:after="0"/>
              <w:rPr>
                <w:sz w:val="14"/>
                <w:szCs w:val="14"/>
                <w:color w:val="auto"/>
              </w:rPr>
            </w:pPr>
          </w:p>
        </w:tc>
        <w:tc>
          <w:tcPr>
            <w:tcW w:w="2540" w:type="dxa"/>
            <w:vAlign w:val="bottom"/>
            <w:gridSpan w:val="2"/>
            <w:shd w:val="clear" w:color="auto" w:fill="E3EAEE"/>
          </w:tcPr>
          <w:p>
            <w:pPr>
              <w:jc w:val="right"/>
              <w:ind w:right="328"/>
              <w:spacing w:after="0"/>
              <w:rPr>
                <w:sz w:val="20"/>
                <w:szCs w:val="20"/>
                <w:color w:val="auto"/>
              </w:rPr>
            </w:pPr>
            <w:r>
              <w:rPr>
                <w:rFonts w:ascii="Arial" w:cs="Arial" w:eastAsia="Arial" w:hAnsi="Arial"/>
                <w:sz w:val="14"/>
                <w:szCs w:val="14"/>
                <w:b w:val="1"/>
                <w:bCs w:val="1"/>
                <w:color w:val="1478A3"/>
              </w:rPr>
              <w:t>Value of Initial Fixed $100</w:t>
            </w:r>
          </w:p>
        </w:tc>
        <w:tc>
          <w:tcPr>
            <w:tcW w:w="1080" w:type="dxa"/>
            <w:vAlign w:val="bottom"/>
            <w:shd w:val="clear" w:color="auto" w:fill="E3EAEE"/>
          </w:tcPr>
          <w:p>
            <w:pPr>
              <w:spacing w:after="0"/>
              <w:rPr>
                <w:sz w:val="14"/>
                <w:szCs w:val="14"/>
                <w:color w:val="auto"/>
              </w:rPr>
            </w:pPr>
          </w:p>
        </w:tc>
        <w:tc>
          <w:tcPr>
            <w:tcW w:w="11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Performance</w:t>
            </w:r>
          </w:p>
        </w:tc>
        <w:tc>
          <w:tcPr>
            <w:tcW w:w="0" w:type="dxa"/>
            <w:vAlign w:val="bottom"/>
          </w:tcPr>
          <w:p>
            <w:pPr>
              <w:spacing w:after="0"/>
              <w:rPr>
                <w:sz w:val="1"/>
                <w:szCs w:val="1"/>
                <w:color w:val="auto"/>
              </w:rPr>
            </w:pPr>
          </w:p>
        </w:tc>
      </w:tr>
      <w:tr>
        <w:trPr>
          <w:trHeight w:val="210"/>
        </w:trPr>
        <w:tc>
          <w:tcPr>
            <w:tcW w:w="920" w:type="dxa"/>
            <w:vAlign w:val="bottom"/>
            <w:shd w:val="clear" w:color="auto" w:fill="E3EAEE"/>
          </w:tcPr>
          <w:p>
            <w:pPr>
              <w:spacing w:after="0"/>
              <w:rPr>
                <w:sz w:val="18"/>
                <w:szCs w:val="18"/>
                <w:color w:val="auto"/>
              </w:rPr>
            </w:pPr>
          </w:p>
        </w:tc>
        <w:tc>
          <w:tcPr>
            <w:tcW w:w="2860" w:type="dxa"/>
            <w:vAlign w:val="bottom"/>
            <w:gridSpan w:val="2"/>
            <w:shd w:val="clear" w:color="auto" w:fill="E3EAEE"/>
          </w:tcPr>
          <w:p>
            <w:pPr>
              <w:jc w:val="right"/>
              <w:ind w:right="1208"/>
              <w:spacing w:after="0"/>
              <w:rPr>
                <w:sz w:val="20"/>
                <w:szCs w:val="20"/>
                <w:color w:val="auto"/>
              </w:rPr>
            </w:pPr>
            <w:r>
              <w:rPr>
                <w:rFonts w:ascii="Arial" w:cs="Arial" w:eastAsia="Arial" w:hAnsi="Arial"/>
                <w:sz w:val="14"/>
                <w:szCs w:val="14"/>
                <w:b w:val="1"/>
                <w:bCs w:val="1"/>
                <w:color w:val="1478A3"/>
              </w:rPr>
              <w:t>PEO</w:t>
            </w:r>
          </w:p>
        </w:tc>
        <w:tc>
          <w:tcPr>
            <w:tcW w:w="1380" w:type="dxa"/>
            <w:vAlign w:val="bottom"/>
            <w:shd w:val="clear" w:color="auto" w:fill="E3EAEE"/>
          </w:tcPr>
          <w:p>
            <w:pPr>
              <w:spacing w:after="0"/>
              <w:rPr>
                <w:sz w:val="18"/>
                <w:szCs w:val="18"/>
                <w:color w:val="auto"/>
              </w:rPr>
            </w:pPr>
          </w:p>
        </w:tc>
        <w:tc>
          <w:tcPr>
            <w:tcW w:w="1280" w:type="dxa"/>
            <w:vAlign w:val="bottom"/>
            <w:shd w:val="clear" w:color="auto" w:fill="E3EAEE"/>
          </w:tcPr>
          <w:p>
            <w:pPr>
              <w:spacing w:after="0"/>
              <w:rPr>
                <w:sz w:val="18"/>
                <w:szCs w:val="18"/>
                <w:color w:val="auto"/>
              </w:rPr>
            </w:pPr>
          </w:p>
        </w:tc>
        <w:tc>
          <w:tcPr>
            <w:tcW w:w="2540" w:type="dxa"/>
            <w:vAlign w:val="bottom"/>
            <w:gridSpan w:val="2"/>
            <w:shd w:val="clear" w:color="auto" w:fill="E3EAEE"/>
          </w:tcPr>
          <w:p>
            <w:pPr>
              <w:jc w:val="right"/>
              <w:ind w:right="468"/>
              <w:spacing w:after="0"/>
              <w:rPr>
                <w:sz w:val="20"/>
                <w:szCs w:val="20"/>
                <w:color w:val="auto"/>
              </w:rPr>
            </w:pPr>
            <w:r>
              <w:rPr>
                <w:rFonts w:ascii="Arial" w:cs="Arial" w:eastAsia="Arial" w:hAnsi="Arial"/>
                <w:sz w:val="14"/>
                <w:szCs w:val="14"/>
                <w:b w:val="1"/>
                <w:bCs w:val="1"/>
                <w:color w:val="1478A3"/>
              </w:rPr>
              <w:t>Investment Based on</w:t>
            </w:r>
          </w:p>
        </w:tc>
        <w:tc>
          <w:tcPr>
            <w:tcW w:w="1080" w:type="dxa"/>
            <w:vAlign w:val="bottom"/>
            <w:shd w:val="clear" w:color="auto" w:fill="E3EAEE"/>
          </w:tcPr>
          <w:p>
            <w:pPr>
              <w:spacing w:after="0"/>
              <w:rPr>
                <w:sz w:val="18"/>
                <w:szCs w:val="18"/>
                <w:color w:val="auto"/>
              </w:rPr>
            </w:pPr>
          </w:p>
        </w:tc>
        <w:tc>
          <w:tcPr>
            <w:tcW w:w="11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Measure</w:t>
            </w:r>
          </w:p>
        </w:tc>
        <w:tc>
          <w:tcPr>
            <w:tcW w:w="0" w:type="dxa"/>
            <w:vAlign w:val="bottom"/>
          </w:tcPr>
          <w:p>
            <w:pPr>
              <w:spacing w:after="0"/>
              <w:rPr>
                <w:sz w:val="1"/>
                <w:szCs w:val="1"/>
                <w:color w:val="auto"/>
              </w:rPr>
            </w:pPr>
          </w:p>
        </w:tc>
      </w:tr>
      <w:tr>
        <w:trPr>
          <w:trHeight w:val="69"/>
        </w:trPr>
        <w:tc>
          <w:tcPr>
            <w:tcW w:w="920" w:type="dxa"/>
            <w:vAlign w:val="bottom"/>
            <w:tcBorders>
              <w:bottom w:val="single" w:sz="8" w:color="E3EAEE"/>
            </w:tcBorders>
            <w:shd w:val="clear" w:color="auto" w:fill="E3EAEE"/>
          </w:tcPr>
          <w:p>
            <w:pPr>
              <w:spacing w:after="0"/>
              <w:rPr>
                <w:sz w:val="6"/>
                <w:szCs w:val="6"/>
                <w:color w:val="auto"/>
              </w:rPr>
            </w:pPr>
          </w:p>
        </w:tc>
        <w:tc>
          <w:tcPr>
            <w:tcW w:w="1460" w:type="dxa"/>
            <w:vAlign w:val="bottom"/>
            <w:tcBorders>
              <w:bottom w:val="single" w:sz="8" w:color="1478A3"/>
            </w:tcBorders>
            <w:shd w:val="clear" w:color="auto" w:fill="E3EAEE"/>
          </w:tcPr>
          <w:p>
            <w:pPr>
              <w:spacing w:after="0"/>
              <w:rPr>
                <w:sz w:val="6"/>
                <w:szCs w:val="6"/>
                <w:color w:val="auto"/>
              </w:rPr>
            </w:pPr>
          </w:p>
        </w:tc>
        <w:tc>
          <w:tcPr>
            <w:tcW w:w="1400" w:type="dxa"/>
            <w:vAlign w:val="bottom"/>
            <w:tcBorders>
              <w:bottom w:val="single" w:sz="8" w:color="1478A3"/>
            </w:tcBorders>
            <w:shd w:val="clear" w:color="auto" w:fill="E3EAEE"/>
          </w:tcPr>
          <w:p>
            <w:pPr>
              <w:spacing w:after="0"/>
              <w:rPr>
                <w:sz w:val="6"/>
                <w:szCs w:val="6"/>
                <w:color w:val="auto"/>
              </w:rPr>
            </w:pPr>
          </w:p>
        </w:tc>
        <w:tc>
          <w:tcPr>
            <w:tcW w:w="1380" w:type="dxa"/>
            <w:vAlign w:val="bottom"/>
            <w:tcBorders>
              <w:bottom w:val="single" w:sz="8" w:color="E3EAEE"/>
            </w:tcBorders>
            <w:vMerge w:val="restart"/>
            <w:shd w:val="clear" w:color="auto" w:fill="E3EAEE"/>
          </w:tcPr>
          <w:p>
            <w:pPr>
              <w:jc w:val="center"/>
              <w:spacing w:after="0"/>
              <w:rPr>
                <w:sz w:val="20"/>
                <w:szCs w:val="20"/>
                <w:color w:val="auto"/>
              </w:rPr>
            </w:pPr>
            <w:r>
              <w:rPr>
                <w:rFonts w:ascii="Arial" w:cs="Arial" w:eastAsia="Arial" w:hAnsi="Arial"/>
                <w:sz w:val="14"/>
                <w:szCs w:val="14"/>
                <w:b w:val="1"/>
                <w:bCs w:val="1"/>
                <w:color w:val="1478A3"/>
              </w:rPr>
              <w:t>Average Summary</w:t>
            </w:r>
          </w:p>
        </w:tc>
        <w:tc>
          <w:tcPr>
            <w:tcW w:w="1280" w:type="dxa"/>
            <w:vAlign w:val="bottom"/>
            <w:tcBorders>
              <w:bottom w:val="single" w:sz="8" w:color="E3EAEE"/>
            </w:tcBorders>
            <w:vMerge w:val="restart"/>
            <w:shd w:val="clear" w:color="auto" w:fill="E3EAEE"/>
          </w:tcPr>
          <w:p>
            <w:pPr>
              <w:jc w:val="center"/>
              <w:spacing w:after="0"/>
              <w:rPr>
                <w:sz w:val="20"/>
                <w:szCs w:val="20"/>
                <w:color w:val="auto"/>
              </w:rPr>
            </w:pPr>
            <w:r>
              <w:rPr>
                <w:rFonts w:ascii="Arial" w:cs="Arial" w:eastAsia="Arial" w:hAnsi="Arial"/>
                <w:sz w:val="14"/>
                <w:szCs w:val="14"/>
                <w:b w:val="1"/>
                <w:bCs w:val="1"/>
                <w:color w:val="1478A3"/>
              </w:rPr>
              <w:t>Average</w:t>
            </w:r>
          </w:p>
        </w:tc>
        <w:tc>
          <w:tcPr>
            <w:tcW w:w="1180" w:type="dxa"/>
            <w:vAlign w:val="bottom"/>
            <w:tcBorders>
              <w:bottom w:val="single" w:sz="8" w:color="1478A3"/>
            </w:tcBorders>
            <w:shd w:val="clear" w:color="auto" w:fill="E3EAEE"/>
          </w:tcPr>
          <w:p>
            <w:pPr>
              <w:spacing w:after="0"/>
              <w:rPr>
                <w:sz w:val="6"/>
                <w:szCs w:val="6"/>
                <w:color w:val="auto"/>
              </w:rPr>
            </w:pPr>
          </w:p>
        </w:tc>
        <w:tc>
          <w:tcPr>
            <w:tcW w:w="1360" w:type="dxa"/>
            <w:vAlign w:val="bottom"/>
            <w:tcBorders>
              <w:bottom w:val="single" w:sz="8" w:color="1478A3"/>
            </w:tcBorders>
            <w:shd w:val="clear" w:color="auto" w:fill="E3EAEE"/>
          </w:tcPr>
          <w:p>
            <w:pPr>
              <w:spacing w:after="0"/>
              <w:rPr>
                <w:sz w:val="6"/>
                <w:szCs w:val="6"/>
                <w:color w:val="auto"/>
              </w:rPr>
            </w:pPr>
          </w:p>
        </w:tc>
        <w:tc>
          <w:tcPr>
            <w:tcW w:w="1080" w:type="dxa"/>
            <w:vAlign w:val="bottom"/>
            <w:tcBorders>
              <w:bottom w:val="single" w:sz="8" w:color="E3EAEE"/>
            </w:tcBorders>
            <w:shd w:val="clear" w:color="auto" w:fill="E3EAEE"/>
          </w:tcPr>
          <w:p>
            <w:pPr>
              <w:spacing w:after="0"/>
              <w:rPr>
                <w:sz w:val="6"/>
                <w:szCs w:val="6"/>
                <w:color w:val="auto"/>
              </w:rPr>
            </w:pPr>
          </w:p>
        </w:tc>
        <w:tc>
          <w:tcPr>
            <w:tcW w:w="1180" w:type="dxa"/>
            <w:vAlign w:val="bottom"/>
            <w:tcBorders>
              <w:bottom w:val="single" w:sz="8" w:color="1478A3"/>
            </w:tcBorders>
            <w:shd w:val="clear" w:color="auto" w:fill="E3EAE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920" w:type="dxa"/>
            <w:vAlign w:val="bottom"/>
            <w:shd w:val="clear" w:color="auto" w:fill="E3EAEE"/>
          </w:tcPr>
          <w:p>
            <w:pPr>
              <w:spacing w:after="0"/>
              <w:rPr>
                <w:sz w:val="8"/>
                <w:szCs w:val="8"/>
                <w:color w:val="auto"/>
              </w:rPr>
            </w:pPr>
          </w:p>
        </w:tc>
        <w:tc>
          <w:tcPr>
            <w:tcW w:w="1460" w:type="dxa"/>
            <w:vAlign w:val="bottom"/>
            <w:shd w:val="clear" w:color="auto" w:fill="E3EAEE"/>
          </w:tcPr>
          <w:p>
            <w:pPr>
              <w:spacing w:after="0"/>
              <w:rPr>
                <w:sz w:val="8"/>
                <w:szCs w:val="8"/>
                <w:color w:val="auto"/>
              </w:rPr>
            </w:pPr>
          </w:p>
        </w:tc>
        <w:tc>
          <w:tcPr>
            <w:tcW w:w="1400" w:type="dxa"/>
            <w:vAlign w:val="bottom"/>
            <w:shd w:val="clear" w:color="auto" w:fill="E3EAEE"/>
          </w:tcPr>
          <w:p>
            <w:pPr>
              <w:spacing w:after="0"/>
              <w:rPr>
                <w:sz w:val="8"/>
                <w:szCs w:val="8"/>
                <w:color w:val="auto"/>
              </w:rPr>
            </w:pPr>
          </w:p>
        </w:tc>
        <w:tc>
          <w:tcPr>
            <w:tcW w:w="1380" w:type="dxa"/>
            <w:vAlign w:val="bottom"/>
            <w:vMerge w:val="continue"/>
            <w:shd w:val="clear" w:color="auto" w:fill="E3EAEE"/>
          </w:tcPr>
          <w:p>
            <w:pPr>
              <w:spacing w:after="0"/>
              <w:rPr>
                <w:sz w:val="8"/>
                <w:szCs w:val="8"/>
                <w:color w:val="auto"/>
              </w:rPr>
            </w:pPr>
          </w:p>
        </w:tc>
        <w:tc>
          <w:tcPr>
            <w:tcW w:w="1280" w:type="dxa"/>
            <w:vAlign w:val="bottom"/>
            <w:vMerge w:val="continue"/>
            <w:shd w:val="clear" w:color="auto" w:fill="E3EAEE"/>
          </w:tcPr>
          <w:p>
            <w:pPr>
              <w:spacing w:after="0"/>
              <w:rPr>
                <w:sz w:val="8"/>
                <w:szCs w:val="8"/>
                <w:color w:val="auto"/>
              </w:rPr>
            </w:pPr>
          </w:p>
        </w:tc>
        <w:tc>
          <w:tcPr>
            <w:tcW w:w="1180" w:type="dxa"/>
            <w:vAlign w:val="bottom"/>
            <w:shd w:val="clear" w:color="auto" w:fill="E3EAEE"/>
          </w:tcPr>
          <w:p>
            <w:pPr>
              <w:spacing w:after="0"/>
              <w:rPr>
                <w:sz w:val="8"/>
                <w:szCs w:val="8"/>
                <w:color w:val="auto"/>
              </w:rPr>
            </w:pPr>
          </w:p>
        </w:tc>
        <w:tc>
          <w:tcPr>
            <w:tcW w:w="1360" w:type="dxa"/>
            <w:vAlign w:val="bottom"/>
            <w:shd w:val="clear" w:color="auto" w:fill="E3EAEE"/>
          </w:tcPr>
          <w:p>
            <w:pPr>
              <w:spacing w:after="0"/>
              <w:rPr>
                <w:sz w:val="8"/>
                <w:szCs w:val="8"/>
                <w:color w:val="auto"/>
              </w:rPr>
            </w:pPr>
          </w:p>
        </w:tc>
        <w:tc>
          <w:tcPr>
            <w:tcW w:w="1080" w:type="dxa"/>
            <w:vAlign w:val="bottom"/>
            <w:shd w:val="clear" w:color="auto" w:fill="E3EAEE"/>
          </w:tcPr>
          <w:p>
            <w:pPr>
              <w:spacing w:after="0"/>
              <w:rPr>
                <w:sz w:val="8"/>
                <w:szCs w:val="8"/>
                <w:color w:val="auto"/>
              </w:rPr>
            </w:pPr>
          </w:p>
        </w:tc>
        <w:tc>
          <w:tcPr>
            <w:tcW w:w="1180" w:type="dxa"/>
            <w:vAlign w:val="bottom"/>
            <w:shd w:val="clear" w:color="auto" w:fill="E3EAE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E3EAEE"/>
          </w:tcPr>
          <w:p>
            <w:pPr>
              <w:spacing w:after="0"/>
              <w:rPr>
                <w:sz w:val="15"/>
                <w:szCs w:val="15"/>
                <w:color w:val="auto"/>
              </w:rPr>
            </w:pPr>
          </w:p>
        </w:tc>
        <w:tc>
          <w:tcPr>
            <w:tcW w:w="1460" w:type="dxa"/>
            <w:vAlign w:val="bottom"/>
            <w:shd w:val="clear" w:color="auto" w:fill="E3EAEE"/>
          </w:tcPr>
          <w:p>
            <w:pPr>
              <w:spacing w:after="0"/>
              <w:rPr>
                <w:sz w:val="15"/>
                <w:szCs w:val="15"/>
                <w:color w:val="auto"/>
              </w:rPr>
            </w:pPr>
          </w:p>
        </w:tc>
        <w:tc>
          <w:tcPr>
            <w:tcW w:w="1400" w:type="dxa"/>
            <w:vAlign w:val="bottom"/>
            <w:shd w:val="clear" w:color="auto" w:fill="E3EAEE"/>
          </w:tcPr>
          <w:p>
            <w:pPr>
              <w:spacing w:after="0"/>
              <w:rPr>
                <w:sz w:val="15"/>
                <w:szCs w:val="15"/>
                <w:color w:val="auto"/>
              </w:rPr>
            </w:pPr>
          </w:p>
        </w:tc>
        <w:tc>
          <w:tcPr>
            <w:tcW w:w="13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Compensation</w:t>
            </w: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Compensation</w:t>
            </w:r>
          </w:p>
        </w:tc>
        <w:tc>
          <w:tcPr>
            <w:tcW w:w="1180" w:type="dxa"/>
            <w:vAlign w:val="bottom"/>
            <w:shd w:val="clear" w:color="auto" w:fill="E3EAEE"/>
          </w:tcPr>
          <w:p>
            <w:pPr>
              <w:spacing w:after="0"/>
              <w:rPr>
                <w:sz w:val="15"/>
                <w:szCs w:val="15"/>
                <w:color w:val="auto"/>
              </w:rPr>
            </w:pPr>
          </w:p>
        </w:tc>
        <w:tc>
          <w:tcPr>
            <w:tcW w:w="1360" w:type="dxa"/>
            <w:vAlign w:val="bottom"/>
            <w:shd w:val="clear" w:color="auto" w:fill="E3EAEE"/>
          </w:tcPr>
          <w:p>
            <w:pPr>
              <w:spacing w:after="0"/>
              <w:rPr>
                <w:sz w:val="15"/>
                <w:szCs w:val="15"/>
                <w:color w:val="auto"/>
              </w:rPr>
            </w:pPr>
          </w:p>
        </w:tc>
        <w:tc>
          <w:tcPr>
            <w:tcW w:w="1080" w:type="dxa"/>
            <w:vAlign w:val="bottom"/>
            <w:shd w:val="clear" w:color="auto" w:fill="E3EAEE"/>
          </w:tcPr>
          <w:p>
            <w:pPr>
              <w:spacing w:after="0"/>
              <w:rPr>
                <w:sz w:val="15"/>
                <w:szCs w:val="15"/>
                <w:color w:val="auto"/>
              </w:rPr>
            </w:pPr>
          </w:p>
        </w:tc>
        <w:tc>
          <w:tcPr>
            <w:tcW w:w="1180" w:type="dxa"/>
            <w:vAlign w:val="bottom"/>
            <w:shd w:val="clear" w:color="auto" w:fill="E3EAE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shd w:val="clear" w:color="auto" w:fill="E3EAEE"/>
          </w:tcPr>
          <w:p>
            <w:pPr>
              <w:spacing w:after="0"/>
              <w:rPr>
                <w:sz w:val="15"/>
                <w:szCs w:val="15"/>
                <w:color w:val="auto"/>
              </w:rPr>
            </w:pPr>
          </w:p>
        </w:tc>
        <w:tc>
          <w:tcPr>
            <w:tcW w:w="146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Summary</w:t>
            </w:r>
          </w:p>
        </w:tc>
        <w:tc>
          <w:tcPr>
            <w:tcW w:w="1400" w:type="dxa"/>
            <w:vAlign w:val="bottom"/>
            <w:shd w:val="clear" w:color="auto" w:fill="E3EAEE"/>
          </w:tcPr>
          <w:p>
            <w:pPr>
              <w:spacing w:after="0"/>
              <w:rPr>
                <w:sz w:val="15"/>
                <w:szCs w:val="15"/>
                <w:color w:val="auto"/>
              </w:rPr>
            </w:pPr>
          </w:p>
        </w:tc>
        <w:tc>
          <w:tcPr>
            <w:tcW w:w="13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Table Total for</w:t>
            </w: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Actually Paid to</w:t>
            </w:r>
          </w:p>
        </w:tc>
        <w:tc>
          <w:tcPr>
            <w:tcW w:w="11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Total</w:t>
            </w:r>
          </w:p>
        </w:tc>
        <w:tc>
          <w:tcPr>
            <w:tcW w:w="136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Peer Group Total</w:t>
            </w:r>
          </w:p>
        </w:tc>
        <w:tc>
          <w:tcPr>
            <w:tcW w:w="1080" w:type="dxa"/>
            <w:vAlign w:val="bottom"/>
            <w:shd w:val="clear" w:color="auto" w:fill="E3EAEE"/>
          </w:tcPr>
          <w:p>
            <w:pPr>
              <w:spacing w:after="0"/>
              <w:rPr>
                <w:sz w:val="15"/>
                <w:szCs w:val="15"/>
                <w:color w:val="auto"/>
              </w:rPr>
            </w:pPr>
          </w:p>
        </w:tc>
        <w:tc>
          <w:tcPr>
            <w:tcW w:w="1180" w:type="dxa"/>
            <w:vAlign w:val="bottom"/>
            <w:shd w:val="clear" w:color="auto" w:fill="E3EAE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20" w:type="dxa"/>
            <w:vAlign w:val="bottom"/>
            <w:shd w:val="clear" w:color="auto" w:fill="E3EAEE"/>
          </w:tcPr>
          <w:p>
            <w:pPr>
              <w:spacing w:after="0"/>
              <w:rPr>
                <w:sz w:val="14"/>
                <w:szCs w:val="14"/>
                <w:color w:val="auto"/>
              </w:rPr>
            </w:pPr>
          </w:p>
        </w:tc>
        <w:tc>
          <w:tcPr>
            <w:tcW w:w="146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Compensation Table</w:t>
            </w:r>
          </w:p>
        </w:tc>
        <w:tc>
          <w:tcPr>
            <w:tcW w:w="1400" w:type="dxa"/>
            <w:vAlign w:val="bottom"/>
            <w:shd w:val="clear" w:color="auto" w:fill="E3EAEE"/>
          </w:tcPr>
          <w:p>
            <w:pPr>
              <w:jc w:val="right"/>
              <w:ind w:right="128"/>
              <w:spacing w:after="0"/>
              <w:rPr>
                <w:sz w:val="20"/>
                <w:szCs w:val="20"/>
                <w:color w:val="auto"/>
              </w:rPr>
            </w:pPr>
            <w:r>
              <w:rPr>
                <w:rFonts w:ascii="Arial" w:cs="Arial" w:eastAsia="Arial" w:hAnsi="Arial"/>
                <w:sz w:val="14"/>
                <w:szCs w:val="14"/>
                <w:b w:val="1"/>
                <w:bCs w:val="1"/>
                <w:color w:val="1478A3"/>
              </w:rPr>
              <w:t>Compensation</w:t>
            </w:r>
          </w:p>
        </w:tc>
        <w:tc>
          <w:tcPr>
            <w:tcW w:w="1380" w:type="dxa"/>
            <w:vAlign w:val="bottom"/>
            <w:shd w:val="clear" w:color="auto" w:fill="E3EAEE"/>
          </w:tcPr>
          <w:p>
            <w:pPr>
              <w:jc w:val="center"/>
              <w:spacing w:after="0" w:line="164" w:lineRule="exact"/>
              <w:rPr>
                <w:sz w:val="20"/>
                <w:szCs w:val="20"/>
                <w:color w:val="auto"/>
              </w:rPr>
            </w:pPr>
            <w:r>
              <w:rPr>
                <w:rFonts w:ascii="Arial" w:cs="Arial" w:eastAsia="Arial" w:hAnsi="Arial"/>
                <w:sz w:val="14"/>
                <w:szCs w:val="14"/>
                <w:b w:val="1"/>
                <w:bCs w:val="1"/>
                <w:color w:val="1478A3"/>
                <w:w w:val="99"/>
              </w:rPr>
              <w:t>Non-PEO NEOs</w:t>
            </w:r>
            <w:r>
              <w:rPr>
                <w:rFonts w:ascii="Arial" w:cs="Arial" w:eastAsia="Arial" w:hAnsi="Arial"/>
                <w:sz w:val="18"/>
                <w:szCs w:val="18"/>
                <w:b w:val="1"/>
                <w:bCs w:val="1"/>
                <w:color w:val="1478A3"/>
                <w:w w:val="99"/>
                <w:vertAlign w:val="superscript"/>
              </w:rPr>
              <w:t>(2)</w:t>
            </w:r>
          </w:p>
        </w:tc>
        <w:tc>
          <w:tcPr>
            <w:tcW w:w="1280" w:type="dxa"/>
            <w:vAlign w:val="bottom"/>
            <w:shd w:val="clear" w:color="auto" w:fill="E3EAEE"/>
          </w:tcPr>
          <w:p>
            <w:pPr>
              <w:jc w:val="center"/>
              <w:spacing w:after="0" w:line="164" w:lineRule="exact"/>
              <w:rPr>
                <w:sz w:val="20"/>
                <w:szCs w:val="20"/>
                <w:color w:val="auto"/>
              </w:rPr>
            </w:pPr>
            <w:r>
              <w:rPr>
                <w:rFonts w:ascii="Arial" w:cs="Arial" w:eastAsia="Arial" w:hAnsi="Arial"/>
                <w:sz w:val="14"/>
                <w:szCs w:val="14"/>
                <w:b w:val="1"/>
                <w:bCs w:val="1"/>
                <w:color w:val="1478A3"/>
                <w:w w:val="98"/>
              </w:rPr>
              <w:t>Non-PEO NEOs</w:t>
            </w:r>
            <w:r>
              <w:rPr>
                <w:rFonts w:ascii="Arial" w:cs="Arial" w:eastAsia="Arial" w:hAnsi="Arial"/>
                <w:sz w:val="18"/>
                <w:szCs w:val="18"/>
                <w:b w:val="1"/>
                <w:bCs w:val="1"/>
                <w:color w:val="1478A3"/>
                <w:w w:val="98"/>
                <w:vertAlign w:val="superscript"/>
              </w:rPr>
              <w:t>(3)</w:t>
            </w:r>
          </w:p>
        </w:tc>
        <w:tc>
          <w:tcPr>
            <w:tcW w:w="11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Shareholder</w:t>
            </w:r>
          </w:p>
        </w:tc>
        <w:tc>
          <w:tcPr>
            <w:tcW w:w="136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Shareholder</w:t>
            </w:r>
          </w:p>
        </w:tc>
        <w:tc>
          <w:tcPr>
            <w:tcW w:w="1080" w:type="dxa"/>
            <w:vAlign w:val="bottom"/>
            <w:shd w:val="clear" w:color="auto" w:fill="E3EAEE"/>
          </w:tcPr>
          <w:p>
            <w:pPr>
              <w:jc w:val="right"/>
              <w:spacing w:after="0"/>
              <w:rPr>
                <w:sz w:val="20"/>
                <w:szCs w:val="20"/>
                <w:color w:val="auto"/>
              </w:rPr>
            </w:pPr>
            <w:r>
              <w:rPr>
                <w:rFonts w:ascii="Arial" w:cs="Arial" w:eastAsia="Arial" w:hAnsi="Arial"/>
                <w:sz w:val="14"/>
                <w:szCs w:val="14"/>
                <w:b w:val="1"/>
                <w:bCs w:val="1"/>
                <w:color w:val="1478A3"/>
              </w:rPr>
              <w:t>Net Income ($)</w:t>
            </w:r>
          </w:p>
        </w:tc>
        <w:tc>
          <w:tcPr>
            <w:tcW w:w="11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Normalized</w:t>
            </w:r>
          </w:p>
        </w:tc>
        <w:tc>
          <w:tcPr>
            <w:tcW w:w="0" w:type="dxa"/>
            <w:vAlign w:val="bottom"/>
          </w:tcPr>
          <w:p>
            <w:pPr>
              <w:spacing w:after="0"/>
              <w:rPr>
                <w:sz w:val="1"/>
                <w:szCs w:val="1"/>
                <w:color w:val="auto"/>
              </w:rPr>
            </w:pPr>
          </w:p>
        </w:tc>
      </w:tr>
      <w:tr>
        <w:trPr>
          <w:trHeight w:val="210"/>
        </w:trPr>
        <w:tc>
          <w:tcPr>
            <w:tcW w:w="920" w:type="dxa"/>
            <w:vAlign w:val="bottom"/>
            <w:shd w:val="clear" w:color="auto" w:fill="E3EAEE"/>
          </w:tcPr>
          <w:p>
            <w:pPr>
              <w:ind w:left="140"/>
              <w:spacing w:after="0"/>
              <w:rPr>
                <w:sz w:val="20"/>
                <w:szCs w:val="20"/>
                <w:color w:val="auto"/>
              </w:rPr>
            </w:pPr>
            <w:r>
              <w:rPr>
                <w:rFonts w:ascii="Arial" w:cs="Arial" w:eastAsia="Arial" w:hAnsi="Arial"/>
                <w:sz w:val="14"/>
                <w:szCs w:val="14"/>
                <w:b w:val="1"/>
                <w:bCs w:val="1"/>
                <w:color w:val="1478A3"/>
              </w:rPr>
              <w:t>Year</w:t>
            </w:r>
          </w:p>
        </w:tc>
        <w:tc>
          <w:tcPr>
            <w:tcW w:w="146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w w:val="99"/>
              </w:rPr>
              <w:t>Total ($)</w:t>
            </w:r>
          </w:p>
        </w:tc>
        <w:tc>
          <w:tcPr>
            <w:tcW w:w="1400" w:type="dxa"/>
            <w:vAlign w:val="bottom"/>
            <w:shd w:val="clear" w:color="auto" w:fill="E3EAEE"/>
          </w:tcPr>
          <w:p>
            <w:pPr>
              <w:jc w:val="right"/>
              <w:ind w:right="28"/>
              <w:spacing w:after="0"/>
              <w:rPr>
                <w:sz w:val="20"/>
                <w:szCs w:val="20"/>
                <w:color w:val="auto"/>
              </w:rPr>
            </w:pPr>
            <w:r>
              <w:rPr>
                <w:rFonts w:ascii="Arial" w:cs="Arial" w:eastAsia="Arial" w:hAnsi="Arial"/>
                <w:sz w:val="14"/>
                <w:szCs w:val="14"/>
                <w:b w:val="1"/>
                <w:bCs w:val="1"/>
                <w:color w:val="1478A3"/>
              </w:rPr>
              <w:t>Actually Paid</w:t>
            </w:r>
            <w:r>
              <w:rPr>
                <w:rFonts w:ascii="Arial" w:cs="Arial" w:eastAsia="Arial" w:hAnsi="Arial"/>
                <w:sz w:val="9"/>
                <w:szCs w:val="9"/>
                <w:b w:val="1"/>
                <w:bCs w:val="1"/>
                <w:color w:val="1478A3"/>
              </w:rPr>
              <w:t>(1)</w:t>
            </w:r>
            <w:r>
              <w:rPr>
                <w:rFonts w:ascii="Arial" w:cs="Arial" w:eastAsia="Arial" w:hAnsi="Arial"/>
                <w:sz w:val="14"/>
                <w:szCs w:val="14"/>
                <w:b w:val="1"/>
                <w:bCs w:val="1"/>
                <w:color w:val="1478A3"/>
              </w:rPr>
              <w:t xml:space="preserve"> ($)</w:t>
            </w:r>
          </w:p>
        </w:tc>
        <w:tc>
          <w:tcPr>
            <w:tcW w:w="13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w:t>
            </w: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w w:val="93"/>
              </w:rPr>
              <w:t>($)</w:t>
            </w:r>
          </w:p>
        </w:tc>
        <w:tc>
          <w:tcPr>
            <w:tcW w:w="11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Return</w:t>
            </w:r>
            <w:r>
              <w:rPr>
                <w:rFonts w:ascii="Arial" w:cs="Arial" w:eastAsia="Arial" w:hAnsi="Arial"/>
                <w:sz w:val="9"/>
                <w:szCs w:val="9"/>
                <w:b w:val="1"/>
                <w:bCs w:val="1"/>
                <w:color w:val="1478A3"/>
              </w:rPr>
              <w:t>(4)(5)</w:t>
            </w:r>
            <w:r>
              <w:rPr>
                <w:rFonts w:ascii="Arial" w:cs="Arial" w:eastAsia="Arial" w:hAnsi="Arial"/>
                <w:sz w:val="14"/>
                <w:szCs w:val="14"/>
                <w:b w:val="1"/>
                <w:bCs w:val="1"/>
                <w:color w:val="1478A3"/>
              </w:rPr>
              <w:t xml:space="preserve"> ($)</w:t>
            </w:r>
          </w:p>
        </w:tc>
        <w:tc>
          <w:tcPr>
            <w:tcW w:w="136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Return</w:t>
            </w:r>
            <w:r>
              <w:rPr>
                <w:rFonts w:ascii="Arial" w:cs="Arial" w:eastAsia="Arial" w:hAnsi="Arial"/>
                <w:sz w:val="9"/>
                <w:szCs w:val="9"/>
                <w:b w:val="1"/>
                <w:bCs w:val="1"/>
                <w:color w:val="1478A3"/>
              </w:rPr>
              <w:t>(4)(6)</w:t>
            </w:r>
            <w:r>
              <w:rPr>
                <w:rFonts w:ascii="Arial" w:cs="Arial" w:eastAsia="Arial" w:hAnsi="Arial"/>
                <w:sz w:val="14"/>
                <w:szCs w:val="14"/>
                <w:b w:val="1"/>
                <w:bCs w:val="1"/>
                <w:color w:val="1478A3"/>
              </w:rPr>
              <w:t xml:space="preserve"> ($)</w:t>
            </w:r>
          </w:p>
        </w:tc>
        <w:tc>
          <w:tcPr>
            <w:tcW w:w="1080" w:type="dxa"/>
            <w:vAlign w:val="bottom"/>
            <w:shd w:val="clear" w:color="auto" w:fill="E3EAEE"/>
          </w:tcPr>
          <w:p>
            <w:pPr>
              <w:jc w:val="right"/>
              <w:ind w:right="288"/>
              <w:spacing w:after="0"/>
              <w:rPr>
                <w:sz w:val="20"/>
                <w:szCs w:val="20"/>
                <w:color w:val="auto"/>
              </w:rPr>
            </w:pPr>
            <w:r>
              <w:rPr>
                <w:rFonts w:ascii="Arial" w:cs="Arial" w:eastAsia="Arial" w:hAnsi="Arial"/>
                <w:sz w:val="14"/>
                <w:szCs w:val="14"/>
                <w:b w:val="1"/>
                <w:bCs w:val="1"/>
                <w:color w:val="1478A3"/>
              </w:rPr>
              <w:t>(MM)</w:t>
            </w:r>
          </w:p>
        </w:tc>
        <w:tc>
          <w:tcPr>
            <w:tcW w:w="11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FFO</w:t>
            </w:r>
            <w:r>
              <w:rPr>
                <w:rFonts w:ascii="Arial" w:cs="Arial" w:eastAsia="Arial" w:hAnsi="Arial"/>
                <w:sz w:val="9"/>
                <w:szCs w:val="9"/>
                <w:b w:val="1"/>
                <w:bCs w:val="1"/>
                <w:color w:val="1478A3"/>
              </w:rPr>
              <w:t>(7)</w:t>
            </w:r>
            <w:r>
              <w:rPr>
                <w:rFonts w:ascii="Arial" w:cs="Arial" w:eastAsia="Arial" w:hAnsi="Arial"/>
                <w:sz w:val="14"/>
                <w:szCs w:val="14"/>
                <w:b w:val="1"/>
                <w:bCs w:val="1"/>
                <w:color w:val="1478A3"/>
              </w:rPr>
              <w:t xml:space="preserve"> ($) (MM)</w:t>
            </w:r>
          </w:p>
        </w:tc>
        <w:tc>
          <w:tcPr>
            <w:tcW w:w="0" w:type="dxa"/>
            <w:vAlign w:val="bottom"/>
          </w:tcPr>
          <w:p>
            <w:pPr>
              <w:spacing w:after="0"/>
              <w:rPr>
                <w:sz w:val="1"/>
                <w:szCs w:val="1"/>
                <w:color w:val="auto"/>
              </w:rPr>
            </w:pPr>
          </w:p>
        </w:tc>
      </w:tr>
      <w:tr>
        <w:trPr>
          <w:trHeight w:val="70"/>
        </w:trPr>
        <w:tc>
          <w:tcPr>
            <w:tcW w:w="920" w:type="dxa"/>
            <w:vAlign w:val="bottom"/>
            <w:tcBorders>
              <w:bottom w:val="single" w:sz="8" w:color="007AA7"/>
            </w:tcBorders>
            <w:shd w:val="clear" w:color="auto" w:fill="E3EAEE"/>
          </w:tcPr>
          <w:p>
            <w:pPr>
              <w:spacing w:after="0"/>
              <w:rPr>
                <w:sz w:val="6"/>
                <w:szCs w:val="6"/>
                <w:color w:val="auto"/>
              </w:rPr>
            </w:pPr>
          </w:p>
        </w:tc>
        <w:tc>
          <w:tcPr>
            <w:tcW w:w="1460" w:type="dxa"/>
            <w:vAlign w:val="bottom"/>
            <w:tcBorders>
              <w:bottom w:val="single" w:sz="8" w:color="007AA7"/>
            </w:tcBorders>
            <w:shd w:val="clear" w:color="auto" w:fill="E3EAEE"/>
          </w:tcPr>
          <w:p>
            <w:pPr>
              <w:spacing w:after="0"/>
              <w:rPr>
                <w:sz w:val="6"/>
                <w:szCs w:val="6"/>
                <w:color w:val="auto"/>
              </w:rPr>
            </w:pPr>
          </w:p>
        </w:tc>
        <w:tc>
          <w:tcPr>
            <w:tcW w:w="1400" w:type="dxa"/>
            <w:vAlign w:val="bottom"/>
            <w:tcBorders>
              <w:bottom w:val="single" w:sz="8" w:color="007AA7"/>
            </w:tcBorders>
            <w:shd w:val="clear" w:color="auto" w:fill="E3EAEE"/>
          </w:tcPr>
          <w:p>
            <w:pPr>
              <w:spacing w:after="0"/>
              <w:rPr>
                <w:sz w:val="6"/>
                <w:szCs w:val="6"/>
                <w:color w:val="auto"/>
              </w:rPr>
            </w:pPr>
          </w:p>
        </w:tc>
        <w:tc>
          <w:tcPr>
            <w:tcW w:w="1380" w:type="dxa"/>
            <w:vAlign w:val="bottom"/>
            <w:tcBorders>
              <w:bottom w:val="single" w:sz="8" w:color="007AA7"/>
            </w:tcBorders>
            <w:shd w:val="clear" w:color="auto" w:fill="E3EAEE"/>
          </w:tcPr>
          <w:p>
            <w:pPr>
              <w:spacing w:after="0"/>
              <w:rPr>
                <w:sz w:val="6"/>
                <w:szCs w:val="6"/>
                <w:color w:val="auto"/>
              </w:rPr>
            </w:pPr>
          </w:p>
        </w:tc>
        <w:tc>
          <w:tcPr>
            <w:tcW w:w="1280" w:type="dxa"/>
            <w:vAlign w:val="bottom"/>
            <w:tcBorders>
              <w:bottom w:val="single" w:sz="8" w:color="007AA7"/>
            </w:tcBorders>
            <w:shd w:val="clear" w:color="auto" w:fill="E3EAEE"/>
          </w:tcPr>
          <w:p>
            <w:pPr>
              <w:spacing w:after="0"/>
              <w:rPr>
                <w:sz w:val="6"/>
                <w:szCs w:val="6"/>
                <w:color w:val="auto"/>
              </w:rPr>
            </w:pPr>
          </w:p>
        </w:tc>
        <w:tc>
          <w:tcPr>
            <w:tcW w:w="1180" w:type="dxa"/>
            <w:vAlign w:val="bottom"/>
            <w:tcBorders>
              <w:bottom w:val="single" w:sz="8" w:color="007AA7"/>
            </w:tcBorders>
            <w:shd w:val="clear" w:color="auto" w:fill="E3EAEE"/>
          </w:tcPr>
          <w:p>
            <w:pPr>
              <w:spacing w:after="0"/>
              <w:rPr>
                <w:sz w:val="6"/>
                <w:szCs w:val="6"/>
                <w:color w:val="auto"/>
              </w:rPr>
            </w:pPr>
          </w:p>
        </w:tc>
        <w:tc>
          <w:tcPr>
            <w:tcW w:w="1360" w:type="dxa"/>
            <w:vAlign w:val="bottom"/>
            <w:tcBorders>
              <w:bottom w:val="single" w:sz="8" w:color="007AA7"/>
            </w:tcBorders>
            <w:shd w:val="clear" w:color="auto" w:fill="E3EAEE"/>
          </w:tcPr>
          <w:p>
            <w:pPr>
              <w:spacing w:after="0"/>
              <w:rPr>
                <w:sz w:val="6"/>
                <w:szCs w:val="6"/>
                <w:color w:val="auto"/>
              </w:rPr>
            </w:pPr>
          </w:p>
        </w:tc>
        <w:tc>
          <w:tcPr>
            <w:tcW w:w="1080" w:type="dxa"/>
            <w:vAlign w:val="bottom"/>
            <w:tcBorders>
              <w:bottom w:val="single" w:sz="8" w:color="007AA7"/>
            </w:tcBorders>
            <w:shd w:val="clear" w:color="auto" w:fill="E3EAEE"/>
          </w:tcPr>
          <w:p>
            <w:pPr>
              <w:spacing w:after="0"/>
              <w:rPr>
                <w:sz w:val="6"/>
                <w:szCs w:val="6"/>
                <w:color w:val="auto"/>
              </w:rPr>
            </w:pPr>
          </w:p>
        </w:tc>
        <w:tc>
          <w:tcPr>
            <w:tcW w:w="1180" w:type="dxa"/>
            <w:vAlign w:val="bottom"/>
            <w:tcBorders>
              <w:bottom w:val="single" w:sz="8" w:color="007AA7"/>
            </w:tcBorders>
            <w:shd w:val="clear" w:color="auto" w:fill="E3EAE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920" w:type="dxa"/>
            <w:vAlign w:val="bottom"/>
          </w:tcPr>
          <w:p>
            <w:pPr>
              <w:ind w:left="180"/>
              <w:spacing w:after="0"/>
              <w:rPr>
                <w:sz w:val="20"/>
                <w:szCs w:val="20"/>
                <w:color w:val="auto"/>
              </w:rPr>
            </w:pPr>
            <w:r>
              <w:rPr>
                <w:rFonts w:ascii="Arial" w:cs="Arial" w:eastAsia="Arial" w:hAnsi="Arial"/>
                <w:sz w:val="14"/>
                <w:szCs w:val="14"/>
                <w:b w:val="1"/>
                <w:bCs w:val="1"/>
                <w:color w:val="3E474E"/>
              </w:rPr>
              <w:t>2025</w:t>
            </w:r>
          </w:p>
        </w:tc>
        <w:tc>
          <w:tcPr>
            <w:tcW w:w="1460" w:type="dxa"/>
            <w:vAlign w:val="bottom"/>
          </w:tcPr>
          <w:p>
            <w:pPr>
              <w:jc w:val="right"/>
              <w:ind w:right="8"/>
              <w:spacing w:after="0"/>
              <w:rPr>
                <w:sz w:val="20"/>
                <w:szCs w:val="20"/>
                <w:color w:val="auto"/>
              </w:rPr>
            </w:pPr>
            <w:r>
              <w:rPr>
                <w:rFonts w:ascii="Arial" w:cs="Arial" w:eastAsia="Arial" w:hAnsi="Arial"/>
                <w:sz w:val="14"/>
                <w:szCs w:val="14"/>
                <w:color w:val="3E474E"/>
              </w:rPr>
              <w:t>6,091,906</w:t>
            </w:r>
          </w:p>
        </w:tc>
        <w:tc>
          <w:tcPr>
            <w:tcW w:w="1400" w:type="dxa"/>
            <w:vAlign w:val="bottom"/>
          </w:tcPr>
          <w:p>
            <w:pPr>
              <w:jc w:val="right"/>
              <w:spacing w:after="0"/>
              <w:rPr>
                <w:sz w:val="20"/>
                <w:szCs w:val="20"/>
                <w:color w:val="auto"/>
              </w:rPr>
            </w:pPr>
            <w:r>
              <w:rPr>
                <w:rFonts w:ascii="Arial" w:cs="Arial" w:eastAsia="Arial" w:hAnsi="Arial"/>
                <w:sz w:val="14"/>
                <w:szCs w:val="14"/>
                <w:color w:val="3E474E"/>
              </w:rPr>
              <w:t>4,929,490</w:t>
            </w:r>
          </w:p>
        </w:tc>
        <w:tc>
          <w:tcPr>
            <w:tcW w:w="1380" w:type="dxa"/>
            <w:vAlign w:val="bottom"/>
          </w:tcPr>
          <w:p>
            <w:pPr>
              <w:jc w:val="right"/>
              <w:ind w:right="8"/>
              <w:spacing w:after="0"/>
              <w:rPr>
                <w:sz w:val="20"/>
                <w:szCs w:val="20"/>
                <w:color w:val="auto"/>
              </w:rPr>
            </w:pPr>
            <w:r>
              <w:rPr>
                <w:rFonts w:ascii="Arial" w:cs="Arial" w:eastAsia="Arial" w:hAnsi="Arial"/>
                <w:sz w:val="14"/>
                <w:szCs w:val="14"/>
                <w:color w:val="3E474E"/>
              </w:rPr>
              <w:t>2,226,443</w:t>
            </w:r>
          </w:p>
        </w:tc>
        <w:tc>
          <w:tcPr>
            <w:tcW w:w="1280" w:type="dxa"/>
            <w:vAlign w:val="bottom"/>
          </w:tcPr>
          <w:p>
            <w:pPr>
              <w:jc w:val="right"/>
              <w:spacing w:after="0"/>
              <w:rPr>
                <w:sz w:val="20"/>
                <w:szCs w:val="20"/>
                <w:color w:val="auto"/>
              </w:rPr>
            </w:pPr>
            <w:r>
              <w:rPr>
                <w:rFonts w:ascii="Arial" w:cs="Arial" w:eastAsia="Arial" w:hAnsi="Arial"/>
                <w:sz w:val="14"/>
                <w:szCs w:val="14"/>
                <w:color w:val="3E474E"/>
              </w:rPr>
              <w:t>1,922,771</w:t>
            </w:r>
          </w:p>
        </w:tc>
        <w:tc>
          <w:tcPr>
            <w:tcW w:w="1180" w:type="dxa"/>
            <w:vAlign w:val="bottom"/>
          </w:tcPr>
          <w:p>
            <w:pPr>
              <w:jc w:val="right"/>
              <w:spacing w:after="0"/>
              <w:rPr>
                <w:sz w:val="20"/>
                <w:szCs w:val="20"/>
                <w:color w:val="auto"/>
              </w:rPr>
            </w:pPr>
            <w:r>
              <w:rPr>
                <w:rFonts w:ascii="Arial" w:cs="Arial" w:eastAsia="Arial" w:hAnsi="Arial"/>
                <w:sz w:val="14"/>
                <w:szCs w:val="14"/>
                <w:color w:val="3E474E"/>
              </w:rPr>
              <w:t>82</w:t>
            </w:r>
          </w:p>
        </w:tc>
        <w:tc>
          <w:tcPr>
            <w:tcW w:w="1360" w:type="dxa"/>
            <w:vAlign w:val="bottom"/>
          </w:tcPr>
          <w:p>
            <w:pPr>
              <w:jc w:val="right"/>
              <w:ind w:right="48"/>
              <w:spacing w:after="0"/>
              <w:rPr>
                <w:sz w:val="20"/>
                <w:szCs w:val="20"/>
                <w:color w:val="auto"/>
              </w:rPr>
            </w:pPr>
            <w:r>
              <w:rPr>
                <w:rFonts w:ascii="Arial" w:cs="Arial" w:eastAsia="Arial" w:hAnsi="Arial"/>
                <w:sz w:val="14"/>
                <w:szCs w:val="14"/>
                <w:color w:val="3E474E"/>
              </w:rPr>
              <w:t>138</w:t>
            </w:r>
          </w:p>
        </w:tc>
        <w:tc>
          <w:tcPr>
            <w:tcW w:w="1080" w:type="dxa"/>
            <w:vAlign w:val="bottom"/>
          </w:tcPr>
          <w:p>
            <w:pPr>
              <w:jc w:val="right"/>
              <w:ind w:right="48"/>
              <w:spacing w:after="0"/>
              <w:rPr>
                <w:sz w:val="20"/>
                <w:szCs w:val="20"/>
                <w:color w:val="auto"/>
              </w:rPr>
            </w:pPr>
            <w:r>
              <w:rPr>
                <w:rFonts w:ascii="Arial" w:cs="Arial" w:eastAsia="Arial" w:hAnsi="Arial"/>
                <w:sz w:val="14"/>
                <w:szCs w:val="14"/>
                <w:color w:val="3E474E"/>
              </w:rPr>
              <w:t>3.9</w:t>
            </w:r>
          </w:p>
        </w:tc>
        <w:tc>
          <w:tcPr>
            <w:tcW w:w="1180" w:type="dxa"/>
            <w:vAlign w:val="bottom"/>
          </w:tcPr>
          <w:p>
            <w:pPr>
              <w:jc w:val="right"/>
              <w:ind w:right="48"/>
              <w:spacing w:after="0"/>
              <w:rPr>
                <w:sz w:val="20"/>
                <w:szCs w:val="20"/>
                <w:color w:val="auto"/>
              </w:rPr>
            </w:pPr>
            <w:r>
              <w:rPr>
                <w:rFonts w:ascii="Arial" w:cs="Arial" w:eastAsia="Arial" w:hAnsi="Arial"/>
                <w:sz w:val="14"/>
                <w:szCs w:val="14"/>
                <w:color w:val="3E474E"/>
              </w:rPr>
              <w:t>110.4</w:t>
            </w: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920" w:type="dxa"/>
            <w:vAlign w:val="bottom"/>
            <w:shd w:val="clear" w:color="auto" w:fill="E3EAEE"/>
          </w:tcPr>
          <w:p>
            <w:pPr>
              <w:ind w:left="100"/>
              <w:spacing w:after="0"/>
              <w:rPr>
                <w:sz w:val="20"/>
                <w:szCs w:val="20"/>
                <w:color w:val="auto"/>
              </w:rPr>
            </w:pPr>
            <w:r>
              <w:rPr>
                <w:rFonts w:ascii="Arial" w:cs="Arial" w:eastAsia="Arial" w:hAnsi="Arial"/>
                <w:sz w:val="14"/>
                <w:szCs w:val="14"/>
                <w:b w:val="1"/>
                <w:bCs w:val="1"/>
                <w:color w:val="3E474E"/>
              </w:rPr>
              <w:t>2024</w:t>
            </w:r>
            <w:r>
              <w:rPr>
                <w:rFonts w:ascii="Arial" w:cs="Arial" w:eastAsia="Arial" w:hAnsi="Arial"/>
                <w:sz w:val="18"/>
                <w:szCs w:val="18"/>
                <w:b w:val="1"/>
                <w:bCs w:val="1"/>
                <w:color w:val="3E474E"/>
                <w:vertAlign w:val="superscript"/>
              </w:rPr>
              <w:t>(8)</w:t>
            </w:r>
          </w:p>
        </w:tc>
        <w:tc>
          <w:tcPr>
            <w:tcW w:w="1460" w:type="dxa"/>
            <w:vAlign w:val="bottom"/>
            <w:shd w:val="clear" w:color="auto" w:fill="E3EAEE"/>
          </w:tcPr>
          <w:p>
            <w:pPr>
              <w:jc w:val="right"/>
              <w:ind w:right="8"/>
              <w:spacing w:after="0"/>
              <w:rPr>
                <w:sz w:val="20"/>
                <w:szCs w:val="20"/>
                <w:color w:val="auto"/>
              </w:rPr>
            </w:pPr>
            <w:r>
              <w:rPr>
                <w:rFonts w:ascii="Arial" w:cs="Arial" w:eastAsia="Arial" w:hAnsi="Arial"/>
                <w:sz w:val="14"/>
                <w:szCs w:val="14"/>
                <w:color w:val="3E474E"/>
              </w:rPr>
              <w:t>2,805,718</w:t>
            </w:r>
          </w:p>
        </w:tc>
        <w:tc>
          <w:tcPr>
            <w:tcW w:w="1400" w:type="dxa"/>
            <w:vAlign w:val="bottom"/>
            <w:shd w:val="clear" w:color="auto" w:fill="E3EAEE"/>
          </w:tcPr>
          <w:p>
            <w:pPr>
              <w:jc w:val="right"/>
              <w:spacing w:after="0"/>
              <w:rPr>
                <w:sz w:val="20"/>
                <w:szCs w:val="20"/>
                <w:color w:val="auto"/>
              </w:rPr>
            </w:pPr>
            <w:r>
              <w:rPr>
                <w:rFonts w:ascii="Arial" w:cs="Arial" w:eastAsia="Arial" w:hAnsi="Arial"/>
                <w:sz w:val="14"/>
                <w:szCs w:val="14"/>
                <w:color w:val="3E474E"/>
              </w:rPr>
              <w:t>2,618,853</w:t>
            </w:r>
          </w:p>
        </w:tc>
        <w:tc>
          <w:tcPr>
            <w:tcW w:w="1380" w:type="dxa"/>
            <w:vAlign w:val="bottom"/>
            <w:shd w:val="clear" w:color="auto" w:fill="E3EAEE"/>
          </w:tcPr>
          <w:p>
            <w:pPr>
              <w:jc w:val="right"/>
              <w:ind w:right="8"/>
              <w:spacing w:after="0"/>
              <w:rPr>
                <w:sz w:val="20"/>
                <w:szCs w:val="20"/>
                <w:color w:val="auto"/>
              </w:rPr>
            </w:pPr>
            <w:r>
              <w:rPr>
                <w:rFonts w:ascii="Arial" w:cs="Arial" w:eastAsia="Arial" w:hAnsi="Arial"/>
                <w:sz w:val="14"/>
                <w:szCs w:val="14"/>
                <w:color w:val="3E474E"/>
              </w:rPr>
              <w:t>1,280,444</w:t>
            </w:r>
          </w:p>
        </w:tc>
        <w:tc>
          <w:tcPr>
            <w:tcW w:w="1280" w:type="dxa"/>
            <w:vAlign w:val="bottom"/>
            <w:shd w:val="clear" w:color="auto" w:fill="E3EAEE"/>
          </w:tcPr>
          <w:p>
            <w:pPr>
              <w:jc w:val="right"/>
              <w:spacing w:after="0"/>
              <w:rPr>
                <w:sz w:val="20"/>
                <w:szCs w:val="20"/>
                <w:color w:val="auto"/>
              </w:rPr>
            </w:pPr>
            <w:r>
              <w:rPr>
                <w:rFonts w:ascii="Arial" w:cs="Arial" w:eastAsia="Arial" w:hAnsi="Arial"/>
                <w:sz w:val="14"/>
                <w:szCs w:val="14"/>
                <w:color w:val="3E474E"/>
              </w:rPr>
              <w:t>1,249,836</w:t>
            </w:r>
          </w:p>
        </w:tc>
        <w:tc>
          <w:tcPr>
            <w:tcW w:w="1180" w:type="dxa"/>
            <w:vAlign w:val="bottom"/>
            <w:shd w:val="clear" w:color="auto" w:fill="E3EAEE"/>
          </w:tcPr>
          <w:p>
            <w:pPr>
              <w:jc w:val="right"/>
              <w:spacing w:after="0"/>
              <w:rPr>
                <w:sz w:val="20"/>
                <w:szCs w:val="20"/>
                <w:color w:val="auto"/>
              </w:rPr>
            </w:pPr>
            <w:r>
              <w:rPr>
                <w:rFonts w:ascii="Arial" w:cs="Arial" w:eastAsia="Arial" w:hAnsi="Arial"/>
                <w:sz w:val="14"/>
                <w:szCs w:val="14"/>
                <w:color w:val="3E474E"/>
              </w:rPr>
              <w:t>75</w:t>
            </w:r>
          </w:p>
        </w:tc>
        <w:tc>
          <w:tcPr>
            <w:tcW w:w="1360" w:type="dxa"/>
            <w:vAlign w:val="bottom"/>
            <w:shd w:val="clear" w:color="auto" w:fill="E3EAEE"/>
          </w:tcPr>
          <w:p>
            <w:pPr>
              <w:jc w:val="right"/>
              <w:ind w:right="48"/>
              <w:spacing w:after="0"/>
              <w:rPr>
                <w:sz w:val="20"/>
                <w:szCs w:val="20"/>
                <w:color w:val="auto"/>
              </w:rPr>
            </w:pPr>
            <w:r>
              <w:rPr>
                <w:rFonts w:ascii="Arial" w:cs="Arial" w:eastAsia="Arial" w:hAnsi="Arial"/>
                <w:sz w:val="14"/>
                <w:szCs w:val="14"/>
                <w:color w:val="3E474E"/>
              </w:rPr>
              <w:t>123</w:t>
            </w:r>
          </w:p>
        </w:tc>
        <w:tc>
          <w:tcPr>
            <w:tcW w:w="1080" w:type="dxa"/>
            <w:vAlign w:val="bottom"/>
            <w:shd w:val="clear" w:color="auto" w:fill="E3EAEE"/>
          </w:tcPr>
          <w:p>
            <w:pPr>
              <w:jc w:val="right"/>
              <w:ind w:right="48"/>
              <w:spacing w:after="0"/>
              <w:rPr>
                <w:sz w:val="20"/>
                <w:szCs w:val="20"/>
                <w:color w:val="auto"/>
              </w:rPr>
            </w:pPr>
            <w:r>
              <w:rPr>
                <w:rFonts w:ascii="Arial" w:cs="Arial" w:eastAsia="Arial" w:hAnsi="Arial"/>
                <w:sz w:val="14"/>
                <w:szCs w:val="14"/>
                <w:color w:val="3E474E"/>
              </w:rPr>
              <w:t>42.5</w:t>
            </w:r>
          </w:p>
        </w:tc>
        <w:tc>
          <w:tcPr>
            <w:tcW w:w="1180" w:type="dxa"/>
            <w:vAlign w:val="bottom"/>
            <w:shd w:val="clear" w:color="auto" w:fill="E3EAEE"/>
          </w:tcPr>
          <w:p>
            <w:pPr>
              <w:jc w:val="right"/>
              <w:ind w:right="48"/>
              <w:spacing w:after="0"/>
              <w:rPr>
                <w:sz w:val="20"/>
                <w:szCs w:val="20"/>
                <w:color w:val="auto"/>
              </w:rPr>
            </w:pPr>
            <w:r>
              <w:rPr>
                <w:rFonts w:ascii="Arial" w:cs="Arial" w:eastAsia="Arial" w:hAnsi="Arial"/>
                <w:sz w:val="14"/>
                <w:szCs w:val="14"/>
                <w:color w:val="3E474E"/>
              </w:rPr>
              <w:t>118.9</w:t>
            </w:r>
          </w:p>
        </w:tc>
        <w:tc>
          <w:tcPr>
            <w:tcW w:w="0" w:type="dxa"/>
            <w:vAlign w:val="bottom"/>
          </w:tcPr>
          <w:p>
            <w:pPr>
              <w:spacing w:after="0"/>
              <w:rPr>
                <w:sz w:val="1"/>
                <w:szCs w:val="1"/>
                <w:color w:val="auto"/>
              </w:rPr>
            </w:pPr>
          </w:p>
        </w:tc>
      </w:tr>
      <w:tr>
        <w:trPr>
          <w:trHeight w:val="276"/>
        </w:trPr>
        <w:tc>
          <w:tcPr>
            <w:tcW w:w="920" w:type="dxa"/>
            <w:vAlign w:val="bottom"/>
          </w:tcPr>
          <w:p>
            <w:pPr>
              <w:ind w:left="100"/>
              <w:spacing w:after="0"/>
              <w:rPr>
                <w:sz w:val="20"/>
                <w:szCs w:val="20"/>
                <w:color w:val="auto"/>
              </w:rPr>
            </w:pPr>
            <w:r>
              <w:rPr>
                <w:rFonts w:ascii="Arial" w:cs="Arial" w:eastAsia="Arial" w:hAnsi="Arial"/>
                <w:sz w:val="14"/>
                <w:szCs w:val="14"/>
                <w:b w:val="1"/>
                <w:bCs w:val="1"/>
                <w:color w:val="3E474E"/>
              </w:rPr>
              <w:t>2023</w:t>
            </w:r>
            <w:r>
              <w:rPr>
                <w:rFonts w:ascii="Arial" w:cs="Arial" w:eastAsia="Arial" w:hAnsi="Arial"/>
                <w:sz w:val="18"/>
                <w:szCs w:val="18"/>
                <w:b w:val="1"/>
                <w:bCs w:val="1"/>
                <w:color w:val="3E474E"/>
                <w:vertAlign w:val="superscript"/>
              </w:rPr>
              <w:t>(8)</w:t>
            </w:r>
          </w:p>
        </w:tc>
        <w:tc>
          <w:tcPr>
            <w:tcW w:w="1460" w:type="dxa"/>
            <w:vAlign w:val="bottom"/>
          </w:tcPr>
          <w:p>
            <w:pPr>
              <w:jc w:val="right"/>
              <w:ind w:right="8"/>
              <w:spacing w:after="0"/>
              <w:rPr>
                <w:sz w:val="20"/>
                <w:szCs w:val="20"/>
                <w:color w:val="auto"/>
              </w:rPr>
            </w:pPr>
            <w:r>
              <w:rPr>
                <w:rFonts w:ascii="Arial" w:cs="Arial" w:eastAsia="Arial" w:hAnsi="Arial"/>
                <w:sz w:val="14"/>
                <w:szCs w:val="14"/>
                <w:color w:val="3E474E"/>
              </w:rPr>
              <w:t>2,541,650</w:t>
            </w:r>
          </w:p>
        </w:tc>
        <w:tc>
          <w:tcPr>
            <w:tcW w:w="1400" w:type="dxa"/>
            <w:vAlign w:val="bottom"/>
          </w:tcPr>
          <w:p>
            <w:pPr>
              <w:jc w:val="right"/>
              <w:spacing w:after="0"/>
              <w:rPr>
                <w:sz w:val="20"/>
                <w:szCs w:val="20"/>
                <w:color w:val="auto"/>
              </w:rPr>
            </w:pPr>
            <w:r>
              <w:rPr>
                <w:rFonts w:ascii="Arial" w:cs="Arial" w:eastAsia="Arial" w:hAnsi="Arial"/>
                <w:sz w:val="14"/>
                <w:szCs w:val="14"/>
                <w:color w:val="3E474E"/>
              </w:rPr>
              <w:t>2,576,199</w:t>
            </w:r>
          </w:p>
        </w:tc>
        <w:tc>
          <w:tcPr>
            <w:tcW w:w="1380" w:type="dxa"/>
            <w:vAlign w:val="bottom"/>
          </w:tcPr>
          <w:p>
            <w:pPr>
              <w:jc w:val="right"/>
              <w:ind w:right="8"/>
              <w:spacing w:after="0"/>
              <w:rPr>
                <w:sz w:val="20"/>
                <w:szCs w:val="20"/>
                <w:color w:val="auto"/>
              </w:rPr>
            </w:pPr>
            <w:r>
              <w:rPr>
                <w:rFonts w:ascii="Arial" w:cs="Arial" w:eastAsia="Arial" w:hAnsi="Arial"/>
                <w:sz w:val="14"/>
                <w:szCs w:val="14"/>
                <w:color w:val="3E474E"/>
              </w:rPr>
              <w:t>942,377</w:t>
            </w:r>
          </w:p>
        </w:tc>
        <w:tc>
          <w:tcPr>
            <w:tcW w:w="1280" w:type="dxa"/>
            <w:vAlign w:val="bottom"/>
          </w:tcPr>
          <w:p>
            <w:pPr>
              <w:jc w:val="right"/>
              <w:spacing w:after="0"/>
              <w:rPr>
                <w:sz w:val="20"/>
                <w:szCs w:val="20"/>
                <w:color w:val="auto"/>
              </w:rPr>
            </w:pPr>
            <w:r>
              <w:rPr>
                <w:rFonts w:ascii="Arial" w:cs="Arial" w:eastAsia="Arial" w:hAnsi="Arial"/>
                <w:sz w:val="14"/>
                <w:szCs w:val="14"/>
                <w:color w:val="3E474E"/>
              </w:rPr>
              <w:t>948,227</w:t>
            </w:r>
          </w:p>
        </w:tc>
        <w:tc>
          <w:tcPr>
            <w:tcW w:w="1180" w:type="dxa"/>
            <w:vAlign w:val="bottom"/>
          </w:tcPr>
          <w:p>
            <w:pPr>
              <w:jc w:val="right"/>
              <w:spacing w:after="0"/>
              <w:rPr>
                <w:sz w:val="20"/>
                <w:szCs w:val="20"/>
                <w:color w:val="auto"/>
              </w:rPr>
            </w:pPr>
            <w:r>
              <w:rPr>
                <w:rFonts w:ascii="Arial" w:cs="Arial" w:eastAsia="Arial" w:hAnsi="Arial"/>
                <w:sz w:val="14"/>
                <w:szCs w:val="14"/>
                <w:color w:val="3E474E"/>
              </w:rPr>
              <w:t>84</w:t>
            </w:r>
          </w:p>
        </w:tc>
        <w:tc>
          <w:tcPr>
            <w:tcW w:w="1360" w:type="dxa"/>
            <w:vAlign w:val="bottom"/>
          </w:tcPr>
          <w:p>
            <w:pPr>
              <w:jc w:val="right"/>
              <w:ind w:right="48"/>
              <w:spacing w:after="0"/>
              <w:rPr>
                <w:sz w:val="20"/>
                <w:szCs w:val="20"/>
                <w:color w:val="auto"/>
              </w:rPr>
            </w:pPr>
            <w:r>
              <w:rPr>
                <w:rFonts w:ascii="Arial" w:cs="Arial" w:eastAsia="Arial" w:hAnsi="Arial"/>
                <w:sz w:val="14"/>
                <w:szCs w:val="14"/>
                <w:color w:val="3E474E"/>
              </w:rPr>
              <w:t>114</w:t>
            </w:r>
          </w:p>
        </w:tc>
        <w:tc>
          <w:tcPr>
            <w:tcW w:w="1080" w:type="dxa"/>
            <w:vAlign w:val="bottom"/>
          </w:tcPr>
          <w:p>
            <w:pPr>
              <w:jc w:val="right"/>
              <w:ind w:right="48"/>
              <w:spacing w:after="0"/>
              <w:rPr>
                <w:sz w:val="20"/>
                <w:szCs w:val="20"/>
                <w:color w:val="auto"/>
              </w:rPr>
            </w:pPr>
            <w:r>
              <w:rPr>
                <w:rFonts w:ascii="Arial" w:cs="Arial" w:eastAsia="Arial" w:hAnsi="Arial"/>
                <w:sz w:val="14"/>
                <w:szCs w:val="14"/>
                <w:color w:val="3E474E"/>
              </w:rPr>
              <w:t>7.7</w:t>
            </w:r>
          </w:p>
        </w:tc>
        <w:tc>
          <w:tcPr>
            <w:tcW w:w="1180" w:type="dxa"/>
            <w:vAlign w:val="bottom"/>
          </w:tcPr>
          <w:p>
            <w:pPr>
              <w:jc w:val="right"/>
              <w:ind w:right="48"/>
              <w:spacing w:after="0"/>
              <w:rPr>
                <w:sz w:val="20"/>
                <w:szCs w:val="20"/>
                <w:color w:val="auto"/>
              </w:rPr>
            </w:pPr>
            <w:r>
              <w:rPr>
                <w:rFonts w:ascii="Arial" w:cs="Arial" w:eastAsia="Arial" w:hAnsi="Arial"/>
                <w:sz w:val="14"/>
                <w:szCs w:val="14"/>
                <w:color w:val="3E474E"/>
              </w:rPr>
              <w:t>110.5</w:t>
            </w:r>
          </w:p>
        </w:tc>
        <w:tc>
          <w:tcPr>
            <w:tcW w:w="0" w:type="dxa"/>
            <w:vAlign w:val="bottom"/>
          </w:tcPr>
          <w:p>
            <w:pPr>
              <w:spacing w:after="0"/>
              <w:rPr>
                <w:sz w:val="1"/>
                <w:szCs w:val="1"/>
                <w:color w:val="auto"/>
              </w:rPr>
            </w:pPr>
          </w:p>
        </w:tc>
      </w:tr>
      <w:tr>
        <w:trPr>
          <w:trHeight w:val="291"/>
        </w:trPr>
        <w:tc>
          <w:tcPr>
            <w:tcW w:w="920" w:type="dxa"/>
            <w:vAlign w:val="bottom"/>
            <w:shd w:val="clear" w:color="auto" w:fill="E3EAEE"/>
          </w:tcPr>
          <w:p>
            <w:pPr>
              <w:ind w:left="100"/>
              <w:spacing w:after="0"/>
              <w:rPr>
                <w:sz w:val="20"/>
                <w:szCs w:val="20"/>
                <w:color w:val="auto"/>
              </w:rPr>
            </w:pPr>
            <w:r>
              <w:rPr>
                <w:rFonts w:ascii="Arial" w:cs="Arial" w:eastAsia="Arial" w:hAnsi="Arial"/>
                <w:sz w:val="14"/>
                <w:szCs w:val="14"/>
                <w:b w:val="1"/>
                <w:bCs w:val="1"/>
                <w:color w:val="3E474E"/>
              </w:rPr>
              <w:t>2022</w:t>
            </w:r>
            <w:r>
              <w:rPr>
                <w:rFonts w:ascii="Arial" w:cs="Arial" w:eastAsia="Arial" w:hAnsi="Arial"/>
                <w:sz w:val="18"/>
                <w:szCs w:val="18"/>
                <w:b w:val="1"/>
                <w:bCs w:val="1"/>
                <w:color w:val="3E474E"/>
                <w:vertAlign w:val="superscript"/>
              </w:rPr>
              <w:t>(8)</w:t>
            </w:r>
          </w:p>
        </w:tc>
        <w:tc>
          <w:tcPr>
            <w:tcW w:w="1460" w:type="dxa"/>
            <w:vAlign w:val="bottom"/>
            <w:shd w:val="clear" w:color="auto" w:fill="E3EAEE"/>
          </w:tcPr>
          <w:p>
            <w:pPr>
              <w:jc w:val="right"/>
              <w:ind w:right="8"/>
              <w:spacing w:after="0"/>
              <w:rPr>
                <w:sz w:val="20"/>
                <w:szCs w:val="20"/>
                <w:color w:val="auto"/>
              </w:rPr>
            </w:pPr>
            <w:r>
              <w:rPr>
                <w:rFonts w:ascii="Arial" w:cs="Arial" w:eastAsia="Arial" w:hAnsi="Arial"/>
                <w:sz w:val="14"/>
                <w:szCs w:val="14"/>
                <w:color w:val="3E474E"/>
              </w:rPr>
              <w:t>2,679,430</w:t>
            </w:r>
          </w:p>
        </w:tc>
        <w:tc>
          <w:tcPr>
            <w:tcW w:w="1400" w:type="dxa"/>
            <w:vAlign w:val="bottom"/>
            <w:shd w:val="clear" w:color="auto" w:fill="E3EAEE"/>
          </w:tcPr>
          <w:p>
            <w:pPr>
              <w:jc w:val="right"/>
              <w:spacing w:after="0"/>
              <w:rPr>
                <w:sz w:val="20"/>
                <w:szCs w:val="20"/>
                <w:color w:val="auto"/>
              </w:rPr>
            </w:pPr>
            <w:r>
              <w:rPr>
                <w:rFonts w:ascii="Arial" w:cs="Arial" w:eastAsia="Arial" w:hAnsi="Arial"/>
                <w:sz w:val="14"/>
                <w:szCs w:val="14"/>
                <w:color w:val="3E474E"/>
              </w:rPr>
              <w:t>2,485,387</w:t>
            </w:r>
          </w:p>
        </w:tc>
        <w:tc>
          <w:tcPr>
            <w:tcW w:w="1380" w:type="dxa"/>
            <w:vAlign w:val="bottom"/>
            <w:shd w:val="clear" w:color="auto" w:fill="E3EAEE"/>
          </w:tcPr>
          <w:p>
            <w:pPr>
              <w:jc w:val="right"/>
              <w:ind w:right="8"/>
              <w:spacing w:after="0"/>
              <w:rPr>
                <w:sz w:val="20"/>
                <w:szCs w:val="20"/>
                <w:color w:val="auto"/>
              </w:rPr>
            </w:pPr>
            <w:r>
              <w:rPr>
                <w:rFonts w:ascii="Arial" w:cs="Arial" w:eastAsia="Arial" w:hAnsi="Arial"/>
                <w:sz w:val="14"/>
                <w:szCs w:val="14"/>
                <w:color w:val="3E474E"/>
              </w:rPr>
              <w:t>893,722</w:t>
            </w:r>
          </w:p>
        </w:tc>
        <w:tc>
          <w:tcPr>
            <w:tcW w:w="1280" w:type="dxa"/>
            <w:vAlign w:val="bottom"/>
            <w:shd w:val="clear" w:color="auto" w:fill="E3EAEE"/>
          </w:tcPr>
          <w:p>
            <w:pPr>
              <w:jc w:val="right"/>
              <w:spacing w:after="0"/>
              <w:rPr>
                <w:sz w:val="20"/>
                <w:szCs w:val="20"/>
                <w:color w:val="auto"/>
              </w:rPr>
            </w:pPr>
            <w:r>
              <w:rPr>
                <w:rFonts w:ascii="Arial" w:cs="Arial" w:eastAsia="Arial" w:hAnsi="Arial"/>
                <w:sz w:val="14"/>
                <w:szCs w:val="14"/>
                <w:color w:val="3E474E"/>
              </w:rPr>
              <w:t>833,642</w:t>
            </w:r>
          </w:p>
        </w:tc>
        <w:tc>
          <w:tcPr>
            <w:tcW w:w="1180" w:type="dxa"/>
            <w:vAlign w:val="bottom"/>
            <w:shd w:val="clear" w:color="auto" w:fill="E3EAEE"/>
          </w:tcPr>
          <w:p>
            <w:pPr>
              <w:jc w:val="right"/>
              <w:spacing w:after="0"/>
              <w:rPr>
                <w:sz w:val="20"/>
                <w:szCs w:val="20"/>
                <w:color w:val="auto"/>
              </w:rPr>
            </w:pPr>
            <w:r>
              <w:rPr>
                <w:rFonts w:ascii="Arial" w:cs="Arial" w:eastAsia="Arial" w:hAnsi="Arial"/>
                <w:sz w:val="14"/>
                <w:szCs w:val="14"/>
                <w:color w:val="3E474E"/>
              </w:rPr>
              <w:t>73</w:t>
            </w:r>
          </w:p>
        </w:tc>
        <w:tc>
          <w:tcPr>
            <w:tcW w:w="1360" w:type="dxa"/>
            <w:vAlign w:val="bottom"/>
            <w:shd w:val="clear" w:color="auto" w:fill="E3EAEE"/>
          </w:tcPr>
          <w:p>
            <w:pPr>
              <w:jc w:val="right"/>
              <w:ind w:right="48"/>
              <w:spacing w:after="0"/>
              <w:rPr>
                <w:sz w:val="20"/>
                <w:szCs w:val="20"/>
                <w:color w:val="auto"/>
              </w:rPr>
            </w:pPr>
            <w:r>
              <w:rPr>
                <w:rFonts w:ascii="Arial" w:cs="Arial" w:eastAsia="Arial" w:hAnsi="Arial"/>
                <w:sz w:val="14"/>
                <w:szCs w:val="14"/>
                <w:color w:val="3E474E"/>
              </w:rPr>
              <w:t>100</w:t>
            </w:r>
          </w:p>
        </w:tc>
        <w:tc>
          <w:tcPr>
            <w:tcW w:w="1080" w:type="dxa"/>
            <w:vAlign w:val="bottom"/>
            <w:shd w:val="clear" w:color="auto" w:fill="E3EAEE"/>
          </w:tcPr>
          <w:p>
            <w:pPr>
              <w:jc w:val="right"/>
              <w:ind w:right="48"/>
              <w:spacing w:after="0"/>
              <w:rPr>
                <w:sz w:val="20"/>
                <w:szCs w:val="20"/>
                <w:color w:val="auto"/>
              </w:rPr>
            </w:pPr>
            <w:r>
              <w:rPr>
                <w:rFonts w:ascii="Arial" w:cs="Arial" w:eastAsia="Arial" w:hAnsi="Arial"/>
                <w:sz w:val="14"/>
                <w:szCs w:val="14"/>
                <w:color w:val="3E474E"/>
              </w:rPr>
              <w:t>100.0</w:t>
            </w:r>
          </w:p>
        </w:tc>
        <w:tc>
          <w:tcPr>
            <w:tcW w:w="1180" w:type="dxa"/>
            <w:vAlign w:val="bottom"/>
            <w:shd w:val="clear" w:color="auto" w:fill="E3EAEE"/>
          </w:tcPr>
          <w:p>
            <w:pPr>
              <w:jc w:val="right"/>
              <w:ind w:right="48"/>
              <w:spacing w:after="0"/>
              <w:rPr>
                <w:sz w:val="20"/>
                <w:szCs w:val="20"/>
                <w:color w:val="auto"/>
              </w:rPr>
            </w:pPr>
            <w:r>
              <w:rPr>
                <w:rFonts w:ascii="Arial" w:cs="Arial" w:eastAsia="Arial" w:hAnsi="Arial"/>
                <w:sz w:val="14"/>
                <w:szCs w:val="14"/>
                <w:color w:val="3E474E"/>
              </w:rPr>
              <w:t>107.2</w:t>
            </w:r>
          </w:p>
        </w:tc>
        <w:tc>
          <w:tcPr>
            <w:tcW w:w="0" w:type="dxa"/>
            <w:vAlign w:val="bottom"/>
          </w:tcPr>
          <w:p>
            <w:pPr>
              <w:spacing w:after="0"/>
              <w:rPr>
                <w:sz w:val="1"/>
                <w:szCs w:val="1"/>
                <w:color w:val="auto"/>
              </w:rPr>
            </w:pPr>
          </w:p>
        </w:tc>
      </w:tr>
      <w:tr>
        <w:trPr>
          <w:trHeight w:val="371"/>
        </w:trPr>
        <w:tc>
          <w:tcPr>
            <w:tcW w:w="920" w:type="dxa"/>
            <w:vAlign w:val="bottom"/>
          </w:tcPr>
          <w:p>
            <w:pPr>
              <w:ind w:left="100"/>
              <w:spacing w:after="0"/>
              <w:rPr>
                <w:sz w:val="20"/>
                <w:szCs w:val="20"/>
                <w:color w:val="auto"/>
              </w:rPr>
            </w:pPr>
            <w:r>
              <w:rPr>
                <w:rFonts w:ascii="Arial" w:cs="Arial" w:eastAsia="Arial" w:hAnsi="Arial"/>
                <w:sz w:val="28"/>
                <w:szCs w:val="28"/>
                <w:b w:val="1"/>
                <w:bCs w:val="1"/>
                <w:color w:val="3E474E"/>
                <w:vertAlign w:val="subscript"/>
              </w:rPr>
              <w:t>2021</w:t>
            </w:r>
            <w:r>
              <w:rPr>
                <w:rFonts w:ascii="Arial" w:cs="Arial" w:eastAsia="Arial" w:hAnsi="Arial"/>
                <w:sz w:val="9"/>
                <w:szCs w:val="9"/>
                <w:b w:val="1"/>
                <w:bCs w:val="1"/>
                <w:color w:val="3E474E"/>
              </w:rPr>
              <w:t>(8)(9)</w:t>
            </w:r>
          </w:p>
        </w:tc>
        <w:tc>
          <w:tcPr>
            <w:tcW w:w="1460" w:type="dxa"/>
            <w:vAlign w:val="bottom"/>
          </w:tcPr>
          <w:p>
            <w:pPr>
              <w:jc w:val="right"/>
              <w:ind w:right="8"/>
              <w:spacing w:after="0"/>
              <w:rPr>
                <w:sz w:val="20"/>
                <w:szCs w:val="20"/>
                <w:color w:val="auto"/>
              </w:rPr>
            </w:pPr>
            <w:r>
              <w:rPr>
                <w:rFonts w:ascii="Arial" w:cs="Arial" w:eastAsia="Arial" w:hAnsi="Arial"/>
                <w:sz w:val="14"/>
                <w:szCs w:val="14"/>
                <w:color w:val="3E474E"/>
              </w:rPr>
              <w:t>2,102,957</w:t>
            </w:r>
          </w:p>
        </w:tc>
        <w:tc>
          <w:tcPr>
            <w:tcW w:w="1400" w:type="dxa"/>
            <w:vAlign w:val="bottom"/>
          </w:tcPr>
          <w:p>
            <w:pPr>
              <w:jc w:val="right"/>
              <w:spacing w:after="0"/>
              <w:rPr>
                <w:sz w:val="20"/>
                <w:szCs w:val="20"/>
                <w:color w:val="auto"/>
              </w:rPr>
            </w:pPr>
            <w:r>
              <w:rPr>
                <w:rFonts w:ascii="Arial" w:cs="Arial" w:eastAsia="Arial" w:hAnsi="Arial"/>
                <w:sz w:val="14"/>
                <w:szCs w:val="14"/>
                <w:color w:val="3E474E"/>
              </w:rPr>
              <w:t>2,269,344</w:t>
            </w:r>
          </w:p>
        </w:tc>
        <w:tc>
          <w:tcPr>
            <w:tcW w:w="1380" w:type="dxa"/>
            <w:vAlign w:val="bottom"/>
          </w:tcPr>
          <w:p>
            <w:pPr>
              <w:jc w:val="right"/>
              <w:ind w:right="8"/>
              <w:spacing w:after="0"/>
              <w:rPr>
                <w:sz w:val="20"/>
                <w:szCs w:val="20"/>
                <w:color w:val="auto"/>
              </w:rPr>
            </w:pPr>
            <w:r>
              <w:rPr>
                <w:rFonts w:ascii="Arial" w:cs="Arial" w:eastAsia="Arial" w:hAnsi="Arial"/>
                <w:sz w:val="14"/>
                <w:szCs w:val="14"/>
                <w:color w:val="3E474E"/>
              </w:rPr>
              <w:t>794,553</w:t>
            </w:r>
          </w:p>
        </w:tc>
        <w:tc>
          <w:tcPr>
            <w:tcW w:w="1280" w:type="dxa"/>
            <w:vAlign w:val="bottom"/>
          </w:tcPr>
          <w:p>
            <w:pPr>
              <w:jc w:val="right"/>
              <w:spacing w:after="0"/>
              <w:rPr>
                <w:sz w:val="20"/>
                <w:szCs w:val="20"/>
                <w:color w:val="auto"/>
              </w:rPr>
            </w:pPr>
            <w:r>
              <w:rPr>
                <w:rFonts w:ascii="Arial" w:cs="Arial" w:eastAsia="Arial" w:hAnsi="Arial"/>
                <w:sz w:val="14"/>
                <w:szCs w:val="14"/>
                <w:color w:val="3E474E"/>
              </w:rPr>
              <w:t>846,855</w:t>
            </w:r>
          </w:p>
        </w:tc>
        <w:tc>
          <w:tcPr>
            <w:tcW w:w="1180" w:type="dxa"/>
            <w:vAlign w:val="bottom"/>
          </w:tcPr>
          <w:p>
            <w:pPr>
              <w:jc w:val="right"/>
              <w:spacing w:after="0"/>
              <w:rPr>
                <w:sz w:val="20"/>
                <w:szCs w:val="20"/>
                <w:color w:val="auto"/>
              </w:rPr>
            </w:pPr>
            <w:r>
              <w:rPr>
                <w:rFonts w:ascii="Arial" w:cs="Arial" w:eastAsia="Arial" w:hAnsi="Arial"/>
                <w:sz w:val="14"/>
                <w:szCs w:val="14"/>
                <w:color w:val="3E474E"/>
              </w:rPr>
              <w:t>91</w:t>
            </w:r>
          </w:p>
        </w:tc>
        <w:tc>
          <w:tcPr>
            <w:tcW w:w="1360" w:type="dxa"/>
            <w:vAlign w:val="bottom"/>
          </w:tcPr>
          <w:p>
            <w:pPr>
              <w:jc w:val="right"/>
              <w:ind w:right="48"/>
              <w:spacing w:after="0"/>
              <w:rPr>
                <w:sz w:val="20"/>
                <w:szCs w:val="20"/>
                <w:color w:val="auto"/>
              </w:rPr>
            </w:pPr>
            <w:r>
              <w:rPr>
                <w:rFonts w:ascii="Arial" w:cs="Arial" w:eastAsia="Arial" w:hAnsi="Arial"/>
                <w:sz w:val="14"/>
                <w:szCs w:val="14"/>
                <w:color w:val="3E474E"/>
              </w:rPr>
              <w:t>132</w:t>
            </w:r>
          </w:p>
        </w:tc>
        <w:tc>
          <w:tcPr>
            <w:tcW w:w="1080" w:type="dxa"/>
            <w:vAlign w:val="bottom"/>
          </w:tcPr>
          <w:p>
            <w:pPr>
              <w:jc w:val="right"/>
              <w:ind w:right="48"/>
              <w:spacing w:after="0"/>
              <w:rPr>
                <w:sz w:val="20"/>
                <w:szCs w:val="20"/>
                <w:color w:val="auto"/>
              </w:rPr>
            </w:pPr>
            <w:r>
              <w:rPr>
                <w:rFonts w:ascii="Arial" w:cs="Arial" w:eastAsia="Arial" w:hAnsi="Arial"/>
                <w:sz w:val="14"/>
                <w:szCs w:val="14"/>
                <w:color w:val="3E474E"/>
              </w:rPr>
              <w:t>25.5</w:t>
            </w:r>
          </w:p>
        </w:tc>
        <w:tc>
          <w:tcPr>
            <w:tcW w:w="1180" w:type="dxa"/>
            <w:vAlign w:val="bottom"/>
          </w:tcPr>
          <w:p>
            <w:pPr>
              <w:jc w:val="right"/>
              <w:ind w:right="48"/>
              <w:spacing w:after="0"/>
              <w:rPr>
                <w:sz w:val="20"/>
                <w:szCs w:val="20"/>
                <w:color w:val="auto"/>
              </w:rPr>
            </w:pPr>
            <w:r>
              <w:rPr>
                <w:rFonts w:ascii="Arial" w:cs="Arial" w:eastAsia="Arial" w:hAnsi="Arial"/>
                <w:sz w:val="14"/>
                <w:szCs w:val="14"/>
                <w:color w:val="3E474E"/>
              </w:rPr>
              <w:t>87.6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180" w:right="200" w:hanging="172"/>
        <w:spacing w:after="0" w:line="231" w:lineRule="auto"/>
        <w:tabs>
          <w:tab w:leader="none" w:pos="208" w:val="left"/>
        </w:tabs>
        <w:numPr>
          <w:ilvl w:val="0"/>
          <w:numId w:val="88"/>
        </w:numPr>
        <w:rPr>
          <w:rFonts w:ascii="Arial" w:cs="Arial" w:eastAsia="Arial" w:hAnsi="Arial"/>
          <w:sz w:val="16"/>
          <w:szCs w:val="16"/>
          <w:color w:val="3E474E"/>
          <w:vertAlign w:val="superscript"/>
        </w:rPr>
      </w:pPr>
      <w:r>
        <w:rPr>
          <w:rFonts w:ascii="Arial" w:cs="Arial" w:eastAsia="Arial" w:hAnsi="Arial"/>
          <w:sz w:val="13"/>
          <w:szCs w:val="13"/>
          <w:color w:val="3E474E"/>
        </w:rPr>
        <w:t>The dollar amounts under "Compensation Actually Paid" represent the amount of "compensation actually paid" to Mr. Tibbetts, as computed in accordance with Item 402(v) of Regulation S-K. The dollar amounts do not reflect the actual amount of compensation earned by or paid to Mr. Tibbetts during the applicable year. In accordance with the requirements of Item 402(v) of Regulation S-K, the adjustments in the table below were made to Mr. Tibbetts' total compensation for each year to determine the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29450" cy="11315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29450" cy="1131570"/>
                    </a:xfrm>
                    <a:prstGeom prst="rect">
                      <a:avLst/>
                    </a:prstGeom>
                    <a:noFill/>
                  </pic:spPr>
                </pic:pic>
              </a:graphicData>
            </a:graphic>
          </wp:anchor>
        </w:drawing>
      </w:r>
    </w:p>
    <w:p>
      <w:pPr>
        <w:spacing w:after="0" w:line="79"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1478A3"/>
        </w:rPr>
        <w:t>Reconciliation of Summary Compensation Total vs Compensation Actually Paid (PEO) ($)</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70"/>
        </w:trPr>
        <w:tc>
          <w:tcPr>
            <w:tcW w:w="720" w:type="dxa"/>
            <w:vAlign w:val="bottom"/>
          </w:tcPr>
          <w:p>
            <w:pPr>
              <w:spacing w:after="0"/>
              <w:rPr>
                <w:sz w:val="6"/>
                <w:szCs w:val="6"/>
                <w:color w:val="auto"/>
              </w:rPr>
            </w:pPr>
          </w:p>
        </w:tc>
        <w:tc>
          <w:tcPr>
            <w:tcW w:w="1280" w:type="dxa"/>
            <w:vAlign w:val="bottom"/>
            <w:tcBorders>
              <w:top w:val="single" w:sz="8" w:color="E3EAEE"/>
            </w:tcBorders>
            <w:shd w:val="clear" w:color="auto" w:fill="1478A3"/>
          </w:tcPr>
          <w:p>
            <w:pPr>
              <w:spacing w:after="0"/>
              <w:rPr>
                <w:sz w:val="6"/>
                <w:szCs w:val="6"/>
                <w:color w:val="auto"/>
              </w:rPr>
            </w:pPr>
          </w:p>
        </w:tc>
        <w:tc>
          <w:tcPr>
            <w:tcW w:w="120" w:type="dxa"/>
            <w:vAlign w:val="bottom"/>
            <w:tcBorders>
              <w:top w:val="single" w:sz="8" w:color="E3EAEE"/>
            </w:tcBorders>
            <w:shd w:val="clear" w:color="auto" w:fill="1478A3"/>
          </w:tcPr>
          <w:p>
            <w:pPr>
              <w:spacing w:after="0"/>
              <w:rPr>
                <w:sz w:val="6"/>
                <w:szCs w:val="6"/>
                <w:color w:val="auto"/>
              </w:rPr>
            </w:pPr>
          </w:p>
        </w:tc>
        <w:tc>
          <w:tcPr>
            <w:tcW w:w="460" w:type="dxa"/>
            <w:vAlign w:val="bottom"/>
            <w:tcBorders>
              <w:top w:val="single" w:sz="8" w:color="E3EAEE"/>
            </w:tcBorders>
            <w:shd w:val="clear" w:color="auto" w:fill="1478A3"/>
          </w:tcPr>
          <w:p>
            <w:pPr>
              <w:spacing w:after="0"/>
              <w:rPr>
                <w:sz w:val="6"/>
                <w:szCs w:val="6"/>
                <w:color w:val="auto"/>
              </w:rPr>
            </w:pPr>
          </w:p>
        </w:tc>
        <w:tc>
          <w:tcPr>
            <w:tcW w:w="460" w:type="dxa"/>
            <w:vAlign w:val="bottom"/>
            <w:tcBorders>
              <w:top w:val="single" w:sz="8" w:color="E3EAEE"/>
            </w:tcBorders>
            <w:shd w:val="clear" w:color="auto" w:fill="1478A3"/>
          </w:tcPr>
          <w:p>
            <w:pPr>
              <w:spacing w:after="0"/>
              <w:rPr>
                <w:sz w:val="6"/>
                <w:szCs w:val="6"/>
                <w:color w:val="auto"/>
              </w:rPr>
            </w:pPr>
          </w:p>
        </w:tc>
        <w:tc>
          <w:tcPr>
            <w:tcW w:w="100" w:type="dxa"/>
            <w:vAlign w:val="bottom"/>
            <w:tcBorders>
              <w:top w:val="single" w:sz="8" w:color="E3EAEE"/>
            </w:tcBorders>
            <w:shd w:val="clear" w:color="auto" w:fill="1478A3"/>
          </w:tcPr>
          <w:p>
            <w:pPr>
              <w:spacing w:after="0"/>
              <w:rPr>
                <w:sz w:val="6"/>
                <w:szCs w:val="6"/>
                <w:color w:val="auto"/>
              </w:rPr>
            </w:pPr>
          </w:p>
        </w:tc>
        <w:tc>
          <w:tcPr>
            <w:tcW w:w="320" w:type="dxa"/>
            <w:vAlign w:val="bottom"/>
            <w:tcBorders>
              <w:top w:val="single" w:sz="8" w:color="E3EAEE"/>
            </w:tcBorders>
            <w:shd w:val="clear" w:color="auto" w:fill="1478A3"/>
          </w:tcPr>
          <w:p>
            <w:pPr>
              <w:spacing w:after="0"/>
              <w:rPr>
                <w:sz w:val="6"/>
                <w:szCs w:val="6"/>
                <w:color w:val="auto"/>
              </w:rPr>
            </w:pPr>
          </w:p>
        </w:tc>
        <w:tc>
          <w:tcPr>
            <w:tcW w:w="1000" w:type="dxa"/>
            <w:vAlign w:val="bottom"/>
            <w:tcBorders>
              <w:top w:val="single" w:sz="8" w:color="E3EAEE"/>
            </w:tcBorders>
            <w:shd w:val="clear" w:color="auto" w:fill="1478A3"/>
          </w:tcPr>
          <w:p>
            <w:pPr>
              <w:spacing w:after="0"/>
              <w:rPr>
                <w:sz w:val="6"/>
                <w:szCs w:val="6"/>
                <w:color w:val="auto"/>
              </w:rPr>
            </w:pPr>
          </w:p>
        </w:tc>
        <w:tc>
          <w:tcPr>
            <w:tcW w:w="100" w:type="dxa"/>
            <w:vAlign w:val="bottom"/>
            <w:tcBorders>
              <w:top w:val="single" w:sz="8" w:color="E3EAEE"/>
            </w:tcBorders>
            <w:shd w:val="clear" w:color="auto" w:fill="1478A3"/>
          </w:tcPr>
          <w:p>
            <w:pPr>
              <w:spacing w:after="0"/>
              <w:rPr>
                <w:sz w:val="6"/>
                <w:szCs w:val="6"/>
                <w:color w:val="auto"/>
              </w:rPr>
            </w:pPr>
          </w:p>
        </w:tc>
        <w:tc>
          <w:tcPr>
            <w:tcW w:w="340" w:type="dxa"/>
            <w:vAlign w:val="bottom"/>
            <w:tcBorders>
              <w:top w:val="single" w:sz="8" w:color="E3EAEE"/>
            </w:tcBorders>
            <w:shd w:val="clear" w:color="auto" w:fill="1478A3"/>
          </w:tcPr>
          <w:p>
            <w:pPr>
              <w:spacing w:after="0"/>
              <w:rPr>
                <w:sz w:val="6"/>
                <w:szCs w:val="6"/>
                <w:color w:val="auto"/>
              </w:rPr>
            </w:pPr>
          </w:p>
        </w:tc>
        <w:tc>
          <w:tcPr>
            <w:tcW w:w="660" w:type="dxa"/>
            <w:vAlign w:val="bottom"/>
            <w:tcBorders>
              <w:top w:val="single" w:sz="8" w:color="E3EAEE"/>
            </w:tcBorders>
            <w:shd w:val="clear" w:color="auto" w:fill="1478A3"/>
          </w:tcPr>
          <w:p>
            <w:pPr>
              <w:spacing w:after="0"/>
              <w:rPr>
                <w:sz w:val="6"/>
                <w:szCs w:val="6"/>
                <w:color w:val="auto"/>
              </w:rPr>
            </w:pPr>
          </w:p>
        </w:tc>
        <w:tc>
          <w:tcPr>
            <w:tcW w:w="100" w:type="dxa"/>
            <w:vAlign w:val="bottom"/>
            <w:tcBorders>
              <w:top w:val="single" w:sz="8" w:color="E3EAEE"/>
            </w:tcBorders>
            <w:shd w:val="clear" w:color="auto" w:fill="1478A3"/>
          </w:tcPr>
          <w:p>
            <w:pPr>
              <w:spacing w:after="0"/>
              <w:rPr>
                <w:sz w:val="6"/>
                <w:szCs w:val="6"/>
                <w:color w:val="auto"/>
              </w:rPr>
            </w:pPr>
          </w:p>
        </w:tc>
        <w:tc>
          <w:tcPr>
            <w:tcW w:w="340" w:type="dxa"/>
            <w:vAlign w:val="bottom"/>
            <w:tcBorders>
              <w:top w:val="single" w:sz="8" w:color="E3EAEE"/>
            </w:tcBorders>
            <w:shd w:val="clear" w:color="auto" w:fill="1478A3"/>
          </w:tcPr>
          <w:p>
            <w:pPr>
              <w:spacing w:after="0"/>
              <w:rPr>
                <w:sz w:val="6"/>
                <w:szCs w:val="6"/>
                <w:color w:val="auto"/>
              </w:rPr>
            </w:pPr>
          </w:p>
        </w:tc>
        <w:tc>
          <w:tcPr>
            <w:tcW w:w="1120" w:type="dxa"/>
            <w:vAlign w:val="bottom"/>
            <w:tcBorders>
              <w:top w:val="single" w:sz="8" w:color="E3EAEE"/>
              <w:right w:val="single" w:sz="8" w:color="1478A3"/>
            </w:tcBorders>
            <w:shd w:val="clear" w:color="auto" w:fill="1478A3"/>
          </w:tcPr>
          <w:p>
            <w:pPr>
              <w:spacing w:after="0"/>
              <w:rPr>
                <w:sz w:val="6"/>
                <w:szCs w:val="6"/>
                <w:color w:val="auto"/>
              </w:rPr>
            </w:pPr>
          </w:p>
        </w:tc>
        <w:tc>
          <w:tcPr>
            <w:tcW w:w="320" w:type="dxa"/>
            <w:vAlign w:val="bottom"/>
            <w:tcBorders>
              <w:top w:val="single" w:sz="8" w:color="E3EAEE"/>
            </w:tcBorders>
            <w:shd w:val="clear" w:color="auto" w:fill="1478A3"/>
          </w:tcPr>
          <w:p>
            <w:pPr>
              <w:spacing w:after="0"/>
              <w:rPr>
                <w:sz w:val="6"/>
                <w:szCs w:val="6"/>
                <w:color w:val="auto"/>
              </w:rPr>
            </w:pPr>
          </w:p>
        </w:tc>
        <w:tc>
          <w:tcPr>
            <w:tcW w:w="1080" w:type="dxa"/>
            <w:vAlign w:val="bottom"/>
            <w:tcBorders>
              <w:top w:val="single" w:sz="8" w:color="E3EAEE"/>
            </w:tcBorders>
            <w:shd w:val="clear" w:color="auto" w:fill="1478A3"/>
          </w:tcPr>
          <w:p>
            <w:pPr>
              <w:spacing w:after="0"/>
              <w:rPr>
                <w:sz w:val="6"/>
                <w:szCs w:val="6"/>
                <w:color w:val="auto"/>
              </w:rPr>
            </w:pPr>
          </w:p>
        </w:tc>
        <w:tc>
          <w:tcPr>
            <w:tcW w:w="420" w:type="dxa"/>
            <w:vAlign w:val="bottom"/>
            <w:tcBorders>
              <w:top w:val="single" w:sz="8" w:color="E3EAEE"/>
            </w:tcBorders>
            <w:shd w:val="clear" w:color="auto" w:fill="1478A3"/>
          </w:tcPr>
          <w:p>
            <w:pPr>
              <w:spacing w:after="0"/>
              <w:rPr>
                <w:sz w:val="6"/>
                <w:szCs w:val="6"/>
                <w:color w:val="auto"/>
              </w:rPr>
            </w:pPr>
          </w:p>
        </w:tc>
        <w:tc>
          <w:tcPr>
            <w:tcW w:w="900" w:type="dxa"/>
            <w:vAlign w:val="bottom"/>
            <w:tcBorders>
              <w:top w:val="single" w:sz="8" w:color="E3EAEE"/>
            </w:tcBorders>
            <w:shd w:val="clear" w:color="auto" w:fill="1478A3"/>
          </w:tcPr>
          <w:p>
            <w:pPr>
              <w:spacing w:after="0"/>
              <w:rPr>
                <w:sz w:val="6"/>
                <w:szCs w:val="6"/>
                <w:color w:val="auto"/>
              </w:rPr>
            </w:pPr>
          </w:p>
        </w:tc>
        <w:tc>
          <w:tcPr>
            <w:tcW w:w="340" w:type="dxa"/>
            <w:vAlign w:val="bottom"/>
            <w:tcBorders>
              <w:top w:val="single" w:sz="8" w:color="E3EAEE"/>
            </w:tcBorders>
            <w:shd w:val="clear" w:color="auto" w:fill="1478A3"/>
          </w:tcPr>
          <w:p>
            <w:pPr>
              <w:spacing w:after="0"/>
              <w:rPr>
                <w:sz w:val="6"/>
                <w:szCs w:val="6"/>
                <w:color w:val="auto"/>
              </w:rPr>
            </w:pPr>
          </w:p>
        </w:tc>
        <w:tc>
          <w:tcPr>
            <w:tcW w:w="520" w:type="dxa"/>
            <w:vAlign w:val="bottom"/>
            <w:tcBorders>
              <w:top w:val="single" w:sz="8" w:color="E3EAEE"/>
            </w:tcBorders>
            <w:shd w:val="clear" w:color="auto" w:fill="1478A3"/>
          </w:tcPr>
          <w:p>
            <w:pPr>
              <w:spacing w:after="0"/>
              <w:rPr>
                <w:sz w:val="6"/>
                <w:szCs w:val="6"/>
                <w:color w:val="auto"/>
              </w:rPr>
            </w:pPr>
          </w:p>
        </w:tc>
        <w:tc>
          <w:tcPr>
            <w:tcW w:w="380" w:type="dxa"/>
            <w:vAlign w:val="bottom"/>
            <w:tcBorders>
              <w:top w:val="single" w:sz="8" w:color="E3EAEE"/>
            </w:tcBorders>
            <w:shd w:val="clear" w:color="auto" w:fill="1478A3"/>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w w:val="95"/>
              </w:rPr>
              <w:t>Total</w:t>
            </w:r>
          </w:p>
        </w:tc>
        <w:tc>
          <w:tcPr>
            <w:tcW w:w="120" w:type="dxa"/>
            <w:vAlign w:val="bottom"/>
            <w:shd w:val="clear" w:color="auto" w:fill="E3EAEE"/>
          </w:tcPr>
          <w:p>
            <w:pPr>
              <w:spacing w:after="0"/>
              <w:rPr>
                <w:sz w:val="14"/>
                <w:szCs w:val="14"/>
                <w:color w:val="auto"/>
              </w:rPr>
            </w:pPr>
          </w:p>
        </w:tc>
        <w:tc>
          <w:tcPr>
            <w:tcW w:w="920" w:type="dxa"/>
            <w:vAlign w:val="bottom"/>
            <w:gridSpan w:val="2"/>
            <w:shd w:val="clear" w:color="auto" w:fill="E3EAEE"/>
          </w:tcPr>
          <w:p>
            <w:pPr>
              <w:jc w:val="center"/>
              <w:ind w:right="140"/>
              <w:spacing w:after="0"/>
              <w:rPr>
                <w:sz w:val="20"/>
                <w:szCs w:val="20"/>
                <w:color w:val="auto"/>
              </w:rPr>
            </w:pPr>
            <w:r>
              <w:rPr>
                <w:rFonts w:ascii="Arial" w:cs="Arial" w:eastAsia="Arial" w:hAnsi="Arial"/>
                <w:sz w:val="14"/>
                <w:szCs w:val="14"/>
                <w:b w:val="1"/>
                <w:bCs w:val="1"/>
                <w:color w:val="1478A3"/>
              </w:rPr>
              <w:t>Minus: SCT</w:t>
            </w:r>
          </w:p>
        </w:tc>
        <w:tc>
          <w:tcPr>
            <w:tcW w:w="100" w:type="dxa"/>
            <w:vAlign w:val="bottom"/>
            <w:shd w:val="clear" w:color="auto" w:fill="E3EAEE"/>
          </w:tcPr>
          <w:p>
            <w:pPr>
              <w:spacing w:after="0"/>
              <w:rPr>
                <w:sz w:val="14"/>
                <w:szCs w:val="14"/>
                <w:color w:val="auto"/>
              </w:rPr>
            </w:pPr>
          </w:p>
        </w:tc>
        <w:tc>
          <w:tcPr>
            <w:tcW w:w="1320" w:type="dxa"/>
            <w:vAlign w:val="bottom"/>
            <w:gridSpan w:val="2"/>
            <w:shd w:val="clear" w:color="auto" w:fill="E3EAEE"/>
          </w:tcPr>
          <w:p>
            <w:pPr>
              <w:jc w:val="center"/>
              <w:ind w:right="48"/>
              <w:spacing w:after="0"/>
              <w:rPr>
                <w:sz w:val="20"/>
                <w:szCs w:val="20"/>
                <w:color w:val="auto"/>
              </w:rPr>
            </w:pPr>
            <w:r>
              <w:rPr>
                <w:rFonts w:ascii="Arial" w:cs="Arial" w:eastAsia="Arial" w:hAnsi="Arial"/>
                <w:sz w:val="14"/>
                <w:szCs w:val="14"/>
                <w:b w:val="1"/>
                <w:bCs w:val="1"/>
                <w:color w:val="1478A3"/>
              </w:rPr>
              <w:t>Add: Fair value at</w:t>
            </w:r>
          </w:p>
        </w:tc>
        <w:tc>
          <w:tcPr>
            <w:tcW w:w="1100" w:type="dxa"/>
            <w:vAlign w:val="bottom"/>
            <w:gridSpan w:val="3"/>
            <w:shd w:val="clear" w:color="auto" w:fill="E3EAEE"/>
          </w:tcPr>
          <w:p>
            <w:pPr>
              <w:jc w:val="center"/>
              <w:ind w:right="20"/>
              <w:spacing w:after="0"/>
              <w:rPr>
                <w:sz w:val="20"/>
                <w:szCs w:val="20"/>
                <w:color w:val="auto"/>
              </w:rPr>
            </w:pPr>
            <w:r>
              <w:rPr>
                <w:rFonts w:ascii="Arial" w:cs="Arial" w:eastAsia="Arial" w:hAnsi="Arial"/>
                <w:sz w:val="14"/>
                <w:szCs w:val="14"/>
                <w:b w:val="1"/>
                <w:bCs w:val="1"/>
                <w:color w:val="1478A3"/>
              </w:rPr>
              <w:t>Add: Vesting</w:t>
            </w:r>
          </w:p>
        </w:tc>
        <w:tc>
          <w:tcPr>
            <w:tcW w:w="100" w:type="dxa"/>
            <w:vAlign w:val="bottom"/>
            <w:shd w:val="clear" w:color="auto" w:fill="E3EAEE"/>
          </w:tcPr>
          <w:p>
            <w:pPr>
              <w:spacing w:after="0"/>
              <w:rPr>
                <w:sz w:val="14"/>
                <w:szCs w:val="14"/>
                <w:color w:val="auto"/>
              </w:rPr>
            </w:pPr>
          </w:p>
        </w:tc>
        <w:tc>
          <w:tcPr>
            <w:tcW w:w="1460" w:type="dxa"/>
            <w:vAlign w:val="bottom"/>
            <w:tcBorders>
              <w:right w:val="single" w:sz="8" w:color="E3EAEE"/>
            </w:tcBorders>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Add: Change in fair</w:t>
            </w:r>
          </w:p>
        </w:tc>
        <w:tc>
          <w:tcPr>
            <w:tcW w:w="2720" w:type="dxa"/>
            <w:vAlign w:val="bottom"/>
            <w:gridSpan w:val="4"/>
            <w:shd w:val="clear" w:color="auto" w:fill="E3EAEE"/>
          </w:tcPr>
          <w:p>
            <w:pPr>
              <w:jc w:val="right"/>
              <w:spacing w:after="0"/>
              <w:rPr>
                <w:sz w:val="20"/>
                <w:szCs w:val="20"/>
                <w:color w:val="auto"/>
              </w:rPr>
            </w:pPr>
            <w:r>
              <w:rPr>
                <w:rFonts w:ascii="Arial" w:cs="Arial" w:eastAsia="Arial" w:hAnsi="Arial"/>
                <w:sz w:val="14"/>
                <w:szCs w:val="14"/>
                <w:b w:val="1"/>
                <w:bCs w:val="1"/>
                <w:color w:val="1478A3"/>
              </w:rPr>
              <w:t xml:space="preserve">Add: Year-over-year </w:t>
            </w:r>
            <w:r>
              <w:rPr>
                <w:rFonts w:ascii="Arial" w:cs="Arial" w:eastAsia="Arial" w:hAnsi="Arial"/>
                <w:sz w:val="14"/>
                <w:szCs w:val="14"/>
                <w:color w:val="1478A3"/>
              </w:rPr>
              <w:t>Minus: Fair value of</w:t>
            </w:r>
          </w:p>
        </w:tc>
        <w:tc>
          <w:tcPr>
            <w:tcW w:w="1240" w:type="dxa"/>
            <w:vAlign w:val="bottom"/>
            <w:gridSpan w:val="3"/>
            <w:shd w:val="clear" w:color="auto" w:fill="E3EAEE"/>
          </w:tcPr>
          <w:p>
            <w:pPr>
              <w:jc w:val="center"/>
              <w:ind w:right="40"/>
              <w:spacing w:after="0"/>
              <w:rPr>
                <w:sz w:val="20"/>
                <w:szCs w:val="20"/>
                <w:color w:val="auto"/>
              </w:rPr>
            </w:pPr>
            <w:r>
              <w:rPr>
                <w:rFonts w:ascii="Arial" w:cs="Arial" w:eastAsia="Arial" w:hAnsi="Arial"/>
                <w:sz w:val="14"/>
                <w:szCs w:val="14"/>
                <w:b w:val="1"/>
                <w:bCs w:val="1"/>
                <w:color w:val="1478A3"/>
              </w:rPr>
              <w:t>Equals:</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80" w:type="dxa"/>
            <w:vAlign w:val="bottom"/>
            <w:vMerge w:val="restart"/>
            <w:shd w:val="clear" w:color="auto" w:fill="E3EAEE"/>
          </w:tcPr>
          <w:p>
            <w:pPr>
              <w:jc w:val="center"/>
              <w:spacing w:after="0"/>
              <w:rPr>
                <w:sz w:val="20"/>
                <w:szCs w:val="20"/>
                <w:color w:val="auto"/>
              </w:rPr>
            </w:pPr>
            <w:r>
              <w:rPr>
                <w:rFonts w:ascii="Arial" w:cs="Arial" w:eastAsia="Arial" w:hAnsi="Arial"/>
                <w:sz w:val="14"/>
                <w:szCs w:val="14"/>
                <w:b w:val="1"/>
                <w:bCs w:val="1"/>
                <w:color w:val="1478A3"/>
              </w:rPr>
              <w:t>Compensation as</w:t>
            </w:r>
          </w:p>
        </w:tc>
        <w:tc>
          <w:tcPr>
            <w:tcW w:w="120" w:type="dxa"/>
            <w:vAlign w:val="bottom"/>
            <w:shd w:val="clear" w:color="auto" w:fill="E3EAEE"/>
          </w:tcPr>
          <w:p>
            <w:pPr>
              <w:spacing w:after="0" w:line="20" w:lineRule="exact"/>
              <w:rPr>
                <w:sz w:val="1"/>
                <w:szCs w:val="1"/>
                <w:color w:val="auto"/>
              </w:rPr>
            </w:pPr>
          </w:p>
        </w:tc>
        <w:tc>
          <w:tcPr>
            <w:tcW w:w="460" w:type="dxa"/>
            <w:vAlign w:val="bottom"/>
            <w:shd w:val="clear" w:color="auto" w:fill="1478A3"/>
          </w:tcPr>
          <w:p>
            <w:pPr>
              <w:spacing w:after="0" w:line="20" w:lineRule="exact"/>
              <w:rPr>
                <w:sz w:val="1"/>
                <w:szCs w:val="1"/>
                <w:color w:val="auto"/>
              </w:rPr>
            </w:pPr>
          </w:p>
        </w:tc>
        <w:tc>
          <w:tcPr>
            <w:tcW w:w="460" w:type="dxa"/>
            <w:vAlign w:val="bottom"/>
            <w:shd w:val="clear" w:color="auto" w:fill="E3EAEE"/>
          </w:tcPr>
          <w:p>
            <w:pPr>
              <w:spacing w:after="0" w:line="20" w:lineRule="exact"/>
              <w:rPr>
                <w:sz w:val="1"/>
                <w:szCs w:val="1"/>
                <w:color w:val="auto"/>
              </w:rPr>
            </w:pPr>
          </w:p>
        </w:tc>
        <w:tc>
          <w:tcPr>
            <w:tcW w:w="100" w:type="dxa"/>
            <w:vAlign w:val="bottom"/>
            <w:shd w:val="clear" w:color="auto" w:fill="E3EAEE"/>
          </w:tcPr>
          <w:p>
            <w:pPr>
              <w:spacing w:after="0" w:line="20" w:lineRule="exact"/>
              <w:rPr>
                <w:sz w:val="1"/>
                <w:szCs w:val="1"/>
                <w:color w:val="auto"/>
              </w:rPr>
            </w:pPr>
          </w:p>
        </w:tc>
        <w:tc>
          <w:tcPr>
            <w:tcW w:w="320" w:type="dxa"/>
            <w:vAlign w:val="bottom"/>
            <w:shd w:val="clear" w:color="auto" w:fill="1478A3"/>
          </w:tcPr>
          <w:p>
            <w:pPr>
              <w:spacing w:after="0" w:line="20" w:lineRule="exact"/>
              <w:rPr>
                <w:sz w:val="1"/>
                <w:szCs w:val="1"/>
                <w:color w:val="auto"/>
              </w:rPr>
            </w:pPr>
          </w:p>
        </w:tc>
        <w:tc>
          <w:tcPr>
            <w:tcW w:w="1000" w:type="dxa"/>
            <w:vAlign w:val="bottom"/>
            <w:shd w:val="clear" w:color="auto" w:fill="E3EAEE"/>
          </w:tcPr>
          <w:p>
            <w:pPr>
              <w:spacing w:after="0" w:line="20" w:lineRule="exact"/>
              <w:rPr>
                <w:sz w:val="1"/>
                <w:szCs w:val="1"/>
                <w:color w:val="auto"/>
              </w:rPr>
            </w:pPr>
          </w:p>
        </w:tc>
        <w:tc>
          <w:tcPr>
            <w:tcW w:w="100" w:type="dxa"/>
            <w:vAlign w:val="bottom"/>
            <w:shd w:val="clear" w:color="auto" w:fill="E3EAEE"/>
          </w:tcPr>
          <w:p>
            <w:pPr>
              <w:spacing w:after="0" w:line="20" w:lineRule="exact"/>
              <w:rPr>
                <w:sz w:val="1"/>
                <w:szCs w:val="1"/>
                <w:color w:val="auto"/>
              </w:rPr>
            </w:pPr>
          </w:p>
        </w:tc>
        <w:tc>
          <w:tcPr>
            <w:tcW w:w="340" w:type="dxa"/>
            <w:vAlign w:val="bottom"/>
            <w:shd w:val="clear" w:color="auto" w:fill="1478A3"/>
          </w:tcPr>
          <w:p>
            <w:pPr>
              <w:spacing w:after="0" w:line="20" w:lineRule="exact"/>
              <w:rPr>
                <w:sz w:val="1"/>
                <w:szCs w:val="1"/>
                <w:color w:val="auto"/>
              </w:rPr>
            </w:pPr>
          </w:p>
        </w:tc>
        <w:tc>
          <w:tcPr>
            <w:tcW w:w="660" w:type="dxa"/>
            <w:vAlign w:val="bottom"/>
            <w:shd w:val="clear" w:color="auto" w:fill="E3EAEE"/>
          </w:tcPr>
          <w:p>
            <w:pPr>
              <w:spacing w:after="0" w:line="20" w:lineRule="exact"/>
              <w:rPr>
                <w:sz w:val="1"/>
                <w:szCs w:val="1"/>
                <w:color w:val="auto"/>
              </w:rPr>
            </w:pPr>
          </w:p>
        </w:tc>
        <w:tc>
          <w:tcPr>
            <w:tcW w:w="100" w:type="dxa"/>
            <w:vAlign w:val="bottom"/>
            <w:shd w:val="clear" w:color="auto" w:fill="E3EAEE"/>
          </w:tcPr>
          <w:p>
            <w:pPr>
              <w:spacing w:after="0" w:line="20" w:lineRule="exact"/>
              <w:rPr>
                <w:sz w:val="1"/>
                <w:szCs w:val="1"/>
                <w:color w:val="auto"/>
              </w:rPr>
            </w:pPr>
          </w:p>
        </w:tc>
        <w:tc>
          <w:tcPr>
            <w:tcW w:w="340" w:type="dxa"/>
            <w:vAlign w:val="bottom"/>
            <w:shd w:val="clear" w:color="auto" w:fill="1478A3"/>
          </w:tcPr>
          <w:p>
            <w:pPr>
              <w:spacing w:after="0" w:line="20" w:lineRule="exact"/>
              <w:rPr>
                <w:sz w:val="1"/>
                <w:szCs w:val="1"/>
                <w:color w:val="auto"/>
              </w:rPr>
            </w:pPr>
          </w:p>
        </w:tc>
        <w:tc>
          <w:tcPr>
            <w:tcW w:w="1120" w:type="dxa"/>
            <w:vAlign w:val="bottom"/>
            <w:tcBorders>
              <w:right w:val="single" w:sz="8" w:color="E3EAEE"/>
            </w:tcBorders>
            <w:shd w:val="clear" w:color="auto" w:fill="E3EAEE"/>
          </w:tcPr>
          <w:p>
            <w:pPr>
              <w:spacing w:after="0" w:line="20" w:lineRule="exact"/>
              <w:rPr>
                <w:sz w:val="1"/>
                <w:szCs w:val="1"/>
                <w:color w:val="auto"/>
              </w:rPr>
            </w:pPr>
          </w:p>
        </w:tc>
        <w:tc>
          <w:tcPr>
            <w:tcW w:w="320" w:type="dxa"/>
            <w:vAlign w:val="bottom"/>
            <w:shd w:val="clear" w:color="auto" w:fill="1478A3"/>
          </w:tcPr>
          <w:p>
            <w:pPr>
              <w:spacing w:after="0" w:line="20" w:lineRule="exact"/>
              <w:rPr>
                <w:sz w:val="1"/>
                <w:szCs w:val="1"/>
                <w:color w:val="auto"/>
              </w:rPr>
            </w:pPr>
          </w:p>
        </w:tc>
        <w:tc>
          <w:tcPr>
            <w:tcW w:w="1080" w:type="dxa"/>
            <w:vAlign w:val="bottom"/>
            <w:shd w:val="clear" w:color="auto" w:fill="E3EAEE"/>
          </w:tcPr>
          <w:p>
            <w:pPr>
              <w:spacing w:after="0" w:line="20" w:lineRule="exact"/>
              <w:rPr>
                <w:sz w:val="1"/>
                <w:szCs w:val="1"/>
                <w:color w:val="auto"/>
              </w:rPr>
            </w:pPr>
          </w:p>
        </w:tc>
        <w:tc>
          <w:tcPr>
            <w:tcW w:w="420" w:type="dxa"/>
            <w:vAlign w:val="bottom"/>
            <w:shd w:val="clear" w:color="auto" w:fill="1478A3"/>
          </w:tcPr>
          <w:p>
            <w:pPr>
              <w:spacing w:after="0" w:line="20" w:lineRule="exact"/>
              <w:rPr>
                <w:sz w:val="1"/>
                <w:szCs w:val="1"/>
                <w:color w:val="auto"/>
              </w:rPr>
            </w:pPr>
          </w:p>
        </w:tc>
        <w:tc>
          <w:tcPr>
            <w:tcW w:w="900" w:type="dxa"/>
            <w:vAlign w:val="bottom"/>
            <w:shd w:val="clear" w:color="auto" w:fill="E3EAEE"/>
          </w:tcPr>
          <w:p>
            <w:pPr>
              <w:spacing w:after="0" w:line="20" w:lineRule="exact"/>
              <w:rPr>
                <w:sz w:val="1"/>
                <w:szCs w:val="1"/>
                <w:color w:val="auto"/>
              </w:rPr>
            </w:pPr>
          </w:p>
        </w:tc>
        <w:tc>
          <w:tcPr>
            <w:tcW w:w="340" w:type="dxa"/>
            <w:vAlign w:val="bottom"/>
            <w:shd w:val="clear" w:color="auto" w:fill="E3EAEE"/>
          </w:tcPr>
          <w:p>
            <w:pPr>
              <w:spacing w:after="0" w:line="20" w:lineRule="exact"/>
              <w:rPr>
                <w:sz w:val="1"/>
                <w:szCs w:val="1"/>
                <w:color w:val="auto"/>
              </w:rPr>
            </w:pPr>
          </w:p>
        </w:tc>
        <w:tc>
          <w:tcPr>
            <w:tcW w:w="520" w:type="dxa"/>
            <w:vAlign w:val="bottom"/>
            <w:shd w:val="clear" w:color="auto" w:fill="1478A3"/>
          </w:tcPr>
          <w:p>
            <w:pPr>
              <w:spacing w:after="0" w:line="20" w:lineRule="exact"/>
              <w:rPr>
                <w:sz w:val="1"/>
                <w:szCs w:val="1"/>
                <w:color w:val="auto"/>
              </w:rPr>
            </w:pPr>
          </w:p>
        </w:tc>
        <w:tc>
          <w:tcPr>
            <w:tcW w:w="380" w:type="dxa"/>
            <w:vAlign w:val="bottom"/>
            <w:shd w:val="clear" w:color="auto" w:fill="E3EA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0" w:type="dxa"/>
            <w:vAlign w:val="bottom"/>
          </w:tcPr>
          <w:p>
            <w:pPr>
              <w:spacing w:after="0"/>
              <w:rPr>
                <w:sz w:val="13"/>
                <w:szCs w:val="13"/>
                <w:color w:val="auto"/>
              </w:rPr>
            </w:pPr>
          </w:p>
        </w:tc>
        <w:tc>
          <w:tcPr>
            <w:tcW w:w="1280" w:type="dxa"/>
            <w:vAlign w:val="bottom"/>
            <w:vMerge w:val="continue"/>
            <w:shd w:val="clear" w:color="auto" w:fill="E3EAEE"/>
          </w:tcPr>
          <w:p>
            <w:pPr>
              <w:spacing w:after="0"/>
              <w:rPr>
                <w:sz w:val="13"/>
                <w:szCs w:val="13"/>
                <w:color w:val="auto"/>
              </w:rPr>
            </w:pPr>
          </w:p>
        </w:tc>
        <w:tc>
          <w:tcPr>
            <w:tcW w:w="120" w:type="dxa"/>
            <w:vAlign w:val="bottom"/>
            <w:shd w:val="clear" w:color="auto" w:fill="E3EAEE"/>
          </w:tcPr>
          <w:p>
            <w:pPr>
              <w:spacing w:after="0"/>
              <w:rPr>
                <w:sz w:val="13"/>
                <w:szCs w:val="13"/>
                <w:color w:val="auto"/>
              </w:rPr>
            </w:pPr>
          </w:p>
        </w:tc>
        <w:tc>
          <w:tcPr>
            <w:tcW w:w="920" w:type="dxa"/>
            <w:vAlign w:val="bottom"/>
            <w:gridSpan w:val="2"/>
            <w:shd w:val="clear" w:color="auto" w:fill="E3EAEE"/>
          </w:tcPr>
          <w:p>
            <w:pPr>
              <w:jc w:val="center"/>
              <w:ind w:right="120"/>
              <w:spacing w:after="0" w:line="160" w:lineRule="exact"/>
              <w:rPr>
                <w:sz w:val="20"/>
                <w:szCs w:val="20"/>
                <w:color w:val="auto"/>
              </w:rPr>
            </w:pPr>
            <w:r>
              <w:rPr>
                <w:rFonts w:ascii="Arial" w:cs="Arial" w:eastAsia="Arial" w:hAnsi="Arial"/>
                <w:sz w:val="14"/>
                <w:szCs w:val="14"/>
                <w:b w:val="1"/>
                <w:bCs w:val="1"/>
                <w:color w:val="1478A3"/>
              </w:rPr>
              <w:t>Equity</w:t>
            </w:r>
          </w:p>
        </w:tc>
        <w:tc>
          <w:tcPr>
            <w:tcW w:w="1420" w:type="dxa"/>
            <w:vAlign w:val="bottom"/>
            <w:gridSpan w:val="3"/>
            <w:shd w:val="clear" w:color="auto" w:fill="E3EAEE"/>
          </w:tcPr>
          <w:p>
            <w:pPr>
              <w:jc w:val="center"/>
              <w:spacing w:after="0" w:line="160" w:lineRule="exact"/>
              <w:rPr>
                <w:sz w:val="20"/>
                <w:szCs w:val="20"/>
                <w:color w:val="auto"/>
              </w:rPr>
            </w:pPr>
            <w:r>
              <w:rPr>
                <w:rFonts w:ascii="Arial" w:cs="Arial" w:eastAsia="Arial" w:hAnsi="Arial"/>
                <w:sz w:val="14"/>
                <w:szCs w:val="14"/>
                <w:b w:val="1"/>
                <w:bCs w:val="1"/>
                <w:color w:val="1478A3"/>
              </w:rPr>
              <w:t>end of fiscal year of</w:t>
            </w:r>
          </w:p>
        </w:tc>
        <w:tc>
          <w:tcPr>
            <w:tcW w:w="1100" w:type="dxa"/>
            <w:vAlign w:val="bottom"/>
            <w:gridSpan w:val="3"/>
            <w:shd w:val="clear" w:color="auto" w:fill="E3EAEE"/>
          </w:tcPr>
          <w:p>
            <w:pPr>
              <w:jc w:val="center"/>
              <w:ind w:right="20"/>
              <w:spacing w:after="0" w:line="160" w:lineRule="exact"/>
              <w:rPr>
                <w:sz w:val="20"/>
                <w:szCs w:val="20"/>
                <w:color w:val="auto"/>
              </w:rPr>
            </w:pPr>
            <w:r>
              <w:rPr>
                <w:rFonts w:ascii="Arial" w:cs="Arial" w:eastAsia="Arial" w:hAnsi="Arial"/>
                <w:sz w:val="14"/>
                <w:szCs w:val="14"/>
                <w:b w:val="1"/>
                <w:bCs w:val="1"/>
                <w:color w:val="1478A3"/>
              </w:rPr>
              <w:t>date fair value</w:t>
            </w:r>
          </w:p>
        </w:tc>
        <w:tc>
          <w:tcPr>
            <w:tcW w:w="100" w:type="dxa"/>
            <w:vAlign w:val="bottom"/>
            <w:shd w:val="clear" w:color="auto" w:fill="E3EAEE"/>
          </w:tcPr>
          <w:p>
            <w:pPr>
              <w:spacing w:after="0"/>
              <w:rPr>
                <w:sz w:val="13"/>
                <w:szCs w:val="13"/>
                <w:color w:val="auto"/>
              </w:rPr>
            </w:pPr>
          </w:p>
        </w:tc>
        <w:tc>
          <w:tcPr>
            <w:tcW w:w="1460" w:type="dxa"/>
            <w:vAlign w:val="bottom"/>
            <w:tcBorders>
              <w:right w:val="single" w:sz="8" w:color="E3EAEE"/>
            </w:tcBorders>
            <w:gridSpan w:val="2"/>
            <w:shd w:val="clear" w:color="auto" w:fill="E3EAEE"/>
          </w:tcPr>
          <w:p>
            <w:pPr>
              <w:jc w:val="center"/>
              <w:ind w:right="100"/>
              <w:spacing w:after="0" w:line="160" w:lineRule="exact"/>
              <w:rPr>
                <w:sz w:val="20"/>
                <w:szCs w:val="20"/>
                <w:color w:val="auto"/>
              </w:rPr>
            </w:pPr>
            <w:r>
              <w:rPr>
                <w:rFonts w:ascii="Arial" w:cs="Arial" w:eastAsia="Arial" w:hAnsi="Arial"/>
                <w:sz w:val="14"/>
                <w:szCs w:val="14"/>
                <w:b w:val="1"/>
                <w:bCs w:val="1"/>
                <w:color w:val="1478A3"/>
              </w:rPr>
              <w:t>value from end of</w:t>
            </w:r>
          </w:p>
        </w:tc>
        <w:tc>
          <w:tcPr>
            <w:tcW w:w="1400" w:type="dxa"/>
            <w:vAlign w:val="bottom"/>
            <w:gridSpan w:val="2"/>
            <w:shd w:val="clear" w:color="auto" w:fill="E3EAEE"/>
          </w:tcPr>
          <w:p>
            <w:pPr>
              <w:jc w:val="center"/>
              <w:spacing w:after="0" w:line="160" w:lineRule="exact"/>
              <w:rPr>
                <w:sz w:val="20"/>
                <w:szCs w:val="20"/>
                <w:color w:val="auto"/>
              </w:rPr>
            </w:pPr>
            <w:r>
              <w:rPr>
                <w:rFonts w:ascii="Arial" w:cs="Arial" w:eastAsia="Arial" w:hAnsi="Arial"/>
                <w:sz w:val="14"/>
                <w:szCs w:val="14"/>
                <w:b w:val="1"/>
                <w:bCs w:val="1"/>
                <w:color w:val="1478A3"/>
              </w:rPr>
              <w:t>change in fair value</w:t>
            </w:r>
          </w:p>
        </w:tc>
        <w:tc>
          <w:tcPr>
            <w:tcW w:w="1320" w:type="dxa"/>
            <w:vAlign w:val="bottom"/>
            <w:gridSpan w:val="2"/>
            <w:shd w:val="clear" w:color="auto" w:fill="E3EAEE"/>
          </w:tcPr>
          <w:p>
            <w:pPr>
              <w:jc w:val="right"/>
              <w:ind w:right="88"/>
              <w:spacing w:after="0" w:line="160" w:lineRule="exact"/>
              <w:rPr>
                <w:sz w:val="20"/>
                <w:szCs w:val="20"/>
                <w:color w:val="auto"/>
              </w:rPr>
            </w:pPr>
            <w:r>
              <w:rPr>
                <w:rFonts w:ascii="Arial" w:cs="Arial" w:eastAsia="Arial" w:hAnsi="Arial"/>
                <w:sz w:val="14"/>
                <w:szCs w:val="14"/>
                <w:color w:val="1478A3"/>
              </w:rPr>
              <w:t>forfeitures during</w:t>
            </w:r>
          </w:p>
        </w:tc>
        <w:tc>
          <w:tcPr>
            <w:tcW w:w="1240" w:type="dxa"/>
            <w:vAlign w:val="bottom"/>
            <w:gridSpan w:val="3"/>
            <w:shd w:val="clear" w:color="auto" w:fill="E3EAEE"/>
          </w:tcPr>
          <w:p>
            <w:pPr>
              <w:jc w:val="center"/>
              <w:ind w:right="40"/>
              <w:spacing w:after="0" w:line="160" w:lineRule="exact"/>
              <w:rPr>
                <w:sz w:val="20"/>
                <w:szCs w:val="20"/>
                <w:color w:val="auto"/>
              </w:rPr>
            </w:pPr>
            <w:r>
              <w:rPr>
                <w:rFonts w:ascii="Arial" w:cs="Arial" w:eastAsia="Arial" w:hAnsi="Arial"/>
                <w:sz w:val="14"/>
                <w:szCs w:val="14"/>
                <w:b w:val="1"/>
                <w:bCs w:val="1"/>
                <w:color w:val="1478A3"/>
              </w:rPr>
              <w:t>Compensation</w:t>
            </w: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reported in the</w:t>
            </w:r>
          </w:p>
        </w:tc>
        <w:tc>
          <w:tcPr>
            <w:tcW w:w="120" w:type="dxa"/>
            <w:vAlign w:val="bottom"/>
            <w:shd w:val="clear" w:color="auto" w:fill="E3EAEE"/>
          </w:tcPr>
          <w:p>
            <w:pPr>
              <w:spacing w:after="0"/>
              <w:rPr>
                <w:sz w:val="15"/>
                <w:szCs w:val="15"/>
                <w:color w:val="auto"/>
              </w:rPr>
            </w:pPr>
          </w:p>
        </w:tc>
        <w:tc>
          <w:tcPr>
            <w:tcW w:w="920" w:type="dxa"/>
            <w:vAlign w:val="bottom"/>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Awards</w:t>
            </w:r>
          </w:p>
        </w:tc>
        <w:tc>
          <w:tcPr>
            <w:tcW w:w="100" w:type="dxa"/>
            <w:vAlign w:val="bottom"/>
            <w:shd w:val="clear" w:color="auto" w:fill="E3EAEE"/>
          </w:tcPr>
          <w:p>
            <w:pPr>
              <w:spacing w:after="0"/>
              <w:rPr>
                <w:sz w:val="15"/>
                <w:szCs w:val="15"/>
                <w:color w:val="auto"/>
              </w:rPr>
            </w:pPr>
          </w:p>
        </w:tc>
        <w:tc>
          <w:tcPr>
            <w:tcW w:w="320" w:type="dxa"/>
            <w:vAlign w:val="bottom"/>
            <w:shd w:val="clear" w:color="auto" w:fill="E3EAEE"/>
          </w:tcPr>
          <w:p>
            <w:pPr>
              <w:spacing w:after="0"/>
              <w:rPr>
                <w:sz w:val="15"/>
                <w:szCs w:val="15"/>
                <w:color w:val="auto"/>
              </w:rPr>
            </w:pPr>
          </w:p>
        </w:tc>
        <w:tc>
          <w:tcPr>
            <w:tcW w:w="1000" w:type="dxa"/>
            <w:vAlign w:val="bottom"/>
            <w:shd w:val="clear" w:color="auto" w:fill="E3EAEE"/>
          </w:tcPr>
          <w:p>
            <w:pPr>
              <w:jc w:val="center"/>
              <w:ind w:right="388"/>
              <w:spacing w:after="0"/>
              <w:rPr>
                <w:sz w:val="20"/>
                <w:szCs w:val="20"/>
                <w:color w:val="auto"/>
              </w:rPr>
            </w:pPr>
            <w:r>
              <w:rPr>
                <w:rFonts w:ascii="Arial" w:cs="Arial" w:eastAsia="Arial" w:hAnsi="Arial"/>
                <w:sz w:val="14"/>
                <w:szCs w:val="14"/>
                <w:b w:val="1"/>
                <w:bCs w:val="1"/>
                <w:color w:val="1478A3"/>
              </w:rPr>
              <w:t>equity</w:t>
            </w:r>
          </w:p>
        </w:tc>
        <w:tc>
          <w:tcPr>
            <w:tcW w:w="100" w:type="dxa"/>
            <w:vAlign w:val="bottom"/>
            <w:shd w:val="clear" w:color="auto" w:fill="E3EAEE"/>
          </w:tcPr>
          <w:p>
            <w:pPr>
              <w:spacing w:after="0"/>
              <w:rPr>
                <w:sz w:val="15"/>
                <w:szCs w:val="15"/>
                <w:color w:val="auto"/>
              </w:rPr>
            </w:pPr>
          </w:p>
        </w:tc>
        <w:tc>
          <w:tcPr>
            <w:tcW w:w="1000" w:type="dxa"/>
            <w:vAlign w:val="bottom"/>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of equity</w:t>
            </w:r>
          </w:p>
        </w:tc>
        <w:tc>
          <w:tcPr>
            <w:tcW w:w="100" w:type="dxa"/>
            <w:vAlign w:val="bottom"/>
            <w:shd w:val="clear" w:color="auto" w:fill="E3EAEE"/>
          </w:tcPr>
          <w:p>
            <w:pPr>
              <w:spacing w:after="0"/>
              <w:rPr>
                <w:sz w:val="15"/>
                <w:szCs w:val="15"/>
                <w:color w:val="auto"/>
              </w:rPr>
            </w:pPr>
          </w:p>
        </w:tc>
        <w:tc>
          <w:tcPr>
            <w:tcW w:w="1460" w:type="dxa"/>
            <w:vAlign w:val="bottom"/>
            <w:tcBorders>
              <w:right w:val="single" w:sz="8" w:color="E3EAEE"/>
            </w:tcBorders>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prior fiscal year to</w:t>
            </w:r>
          </w:p>
        </w:tc>
        <w:tc>
          <w:tcPr>
            <w:tcW w:w="1400" w:type="dxa"/>
            <w:vAlign w:val="bottom"/>
            <w:gridSpan w:val="2"/>
            <w:shd w:val="clear" w:color="auto" w:fill="E3EAEE"/>
          </w:tcPr>
          <w:p>
            <w:pPr>
              <w:jc w:val="center"/>
              <w:spacing w:after="0"/>
              <w:rPr>
                <w:sz w:val="20"/>
                <w:szCs w:val="20"/>
                <w:color w:val="auto"/>
              </w:rPr>
            </w:pPr>
            <w:r>
              <w:rPr>
                <w:rFonts w:ascii="Arial" w:cs="Arial" w:eastAsia="Arial" w:hAnsi="Arial"/>
                <w:sz w:val="14"/>
                <w:szCs w:val="14"/>
                <w:b w:val="1"/>
                <w:bCs w:val="1"/>
                <w:color w:val="1478A3"/>
              </w:rPr>
              <w:t>of outstanding,</w:t>
            </w:r>
          </w:p>
        </w:tc>
        <w:tc>
          <w:tcPr>
            <w:tcW w:w="1320" w:type="dxa"/>
            <w:vAlign w:val="bottom"/>
            <w:gridSpan w:val="2"/>
            <w:shd w:val="clear" w:color="auto" w:fill="E3EAEE"/>
          </w:tcPr>
          <w:p>
            <w:pPr>
              <w:jc w:val="right"/>
              <w:ind w:right="8"/>
              <w:spacing w:after="0"/>
              <w:rPr>
                <w:sz w:val="20"/>
                <w:szCs w:val="20"/>
                <w:color w:val="auto"/>
              </w:rPr>
            </w:pPr>
            <w:r>
              <w:rPr>
                <w:rFonts w:ascii="Arial" w:cs="Arial" w:eastAsia="Arial" w:hAnsi="Arial"/>
                <w:sz w:val="14"/>
                <w:szCs w:val="14"/>
                <w:color w:val="1478A3"/>
              </w:rPr>
              <w:t>the fiscal year as of</w:t>
            </w:r>
          </w:p>
        </w:tc>
        <w:tc>
          <w:tcPr>
            <w:tcW w:w="1240" w:type="dxa"/>
            <w:vAlign w:val="bottom"/>
            <w:gridSpan w:val="3"/>
            <w:shd w:val="clear" w:color="auto" w:fill="E3EAEE"/>
          </w:tcPr>
          <w:p>
            <w:pPr>
              <w:jc w:val="center"/>
              <w:ind w:right="40"/>
              <w:spacing w:after="0"/>
              <w:rPr>
                <w:sz w:val="20"/>
                <w:szCs w:val="20"/>
                <w:color w:val="auto"/>
              </w:rPr>
            </w:pPr>
            <w:r>
              <w:rPr>
                <w:rFonts w:ascii="Arial" w:cs="Arial" w:eastAsia="Arial" w:hAnsi="Arial"/>
                <w:sz w:val="14"/>
                <w:szCs w:val="14"/>
                <w:b w:val="1"/>
                <w:bCs w:val="1"/>
                <w:color w:val="1478A3"/>
              </w:rPr>
              <w:t>Actually Paid to</w:t>
            </w: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Summary</w:t>
            </w:r>
          </w:p>
        </w:tc>
        <w:tc>
          <w:tcPr>
            <w:tcW w:w="120" w:type="dxa"/>
            <w:vAlign w:val="bottom"/>
            <w:shd w:val="clear" w:color="auto" w:fill="E3EAEE"/>
          </w:tcPr>
          <w:p>
            <w:pPr>
              <w:spacing w:after="0"/>
              <w:rPr>
                <w:sz w:val="15"/>
                <w:szCs w:val="15"/>
                <w:color w:val="auto"/>
              </w:rPr>
            </w:pPr>
          </w:p>
        </w:tc>
        <w:tc>
          <w:tcPr>
            <w:tcW w:w="460" w:type="dxa"/>
            <w:vAlign w:val="bottom"/>
            <w:shd w:val="clear" w:color="auto" w:fill="E3EAEE"/>
          </w:tcPr>
          <w:p>
            <w:pPr>
              <w:spacing w:after="0"/>
              <w:rPr>
                <w:sz w:val="15"/>
                <w:szCs w:val="15"/>
                <w:color w:val="auto"/>
              </w:rPr>
            </w:pPr>
          </w:p>
        </w:tc>
        <w:tc>
          <w:tcPr>
            <w:tcW w:w="460" w:type="dxa"/>
            <w:vAlign w:val="bottom"/>
            <w:shd w:val="clear" w:color="auto" w:fill="E3EAEE"/>
          </w:tcPr>
          <w:p>
            <w:pPr>
              <w:spacing w:after="0"/>
              <w:rPr>
                <w:sz w:val="15"/>
                <w:szCs w:val="15"/>
                <w:color w:val="auto"/>
              </w:rPr>
            </w:pPr>
          </w:p>
        </w:tc>
        <w:tc>
          <w:tcPr>
            <w:tcW w:w="100" w:type="dxa"/>
            <w:vAlign w:val="bottom"/>
            <w:shd w:val="clear" w:color="auto" w:fill="E3EAEE"/>
          </w:tcPr>
          <w:p>
            <w:pPr>
              <w:spacing w:after="0"/>
              <w:rPr>
                <w:sz w:val="15"/>
                <w:szCs w:val="15"/>
                <w:color w:val="auto"/>
              </w:rPr>
            </w:pPr>
          </w:p>
        </w:tc>
        <w:tc>
          <w:tcPr>
            <w:tcW w:w="1320" w:type="dxa"/>
            <w:vAlign w:val="bottom"/>
            <w:gridSpan w:val="2"/>
            <w:shd w:val="clear" w:color="auto" w:fill="E3EAEE"/>
          </w:tcPr>
          <w:p>
            <w:pPr>
              <w:jc w:val="center"/>
              <w:ind w:right="68"/>
              <w:spacing w:after="0"/>
              <w:rPr>
                <w:sz w:val="20"/>
                <w:szCs w:val="20"/>
                <w:color w:val="auto"/>
              </w:rPr>
            </w:pPr>
            <w:r>
              <w:rPr>
                <w:rFonts w:ascii="Arial" w:cs="Arial" w:eastAsia="Arial" w:hAnsi="Arial"/>
                <w:sz w:val="14"/>
                <w:szCs w:val="14"/>
                <w:b w:val="1"/>
                <w:bCs w:val="1"/>
                <w:color w:val="1478A3"/>
              </w:rPr>
              <w:t>compensation</w:t>
            </w:r>
          </w:p>
        </w:tc>
        <w:tc>
          <w:tcPr>
            <w:tcW w:w="1100" w:type="dxa"/>
            <w:vAlign w:val="bottom"/>
            <w:gridSpan w:val="3"/>
            <w:shd w:val="clear" w:color="auto" w:fill="E3EAEE"/>
          </w:tcPr>
          <w:p>
            <w:pPr>
              <w:jc w:val="center"/>
              <w:spacing w:after="0"/>
              <w:rPr>
                <w:sz w:val="20"/>
                <w:szCs w:val="20"/>
                <w:color w:val="auto"/>
              </w:rPr>
            </w:pPr>
            <w:r>
              <w:rPr>
                <w:rFonts w:ascii="Arial" w:cs="Arial" w:eastAsia="Arial" w:hAnsi="Arial"/>
                <w:sz w:val="14"/>
                <w:szCs w:val="14"/>
                <w:b w:val="1"/>
                <w:bCs w:val="1"/>
                <w:color w:val="1478A3"/>
              </w:rPr>
              <w:t>compensation</w:t>
            </w:r>
          </w:p>
        </w:tc>
        <w:tc>
          <w:tcPr>
            <w:tcW w:w="100" w:type="dxa"/>
            <w:vAlign w:val="bottom"/>
            <w:shd w:val="clear" w:color="auto" w:fill="E3EAEE"/>
          </w:tcPr>
          <w:p>
            <w:pPr>
              <w:spacing w:after="0"/>
              <w:rPr>
                <w:sz w:val="15"/>
                <w:szCs w:val="15"/>
                <w:color w:val="auto"/>
              </w:rPr>
            </w:pPr>
          </w:p>
        </w:tc>
        <w:tc>
          <w:tcPr>
            <w:tcW w:w="1460" w:type="dxa"/>
            <w:vAlign w:val="bottom"/>
            <w:tcBorders>
              <w:right w:val="single" w:sz="8" w:color="E3EAEE"/>
            </w:tcBorders>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vesting date for</w:t>
            </w:r>
          </w:p>
        </w:tc>
        <w:tc>
          <w:tcPr>
            <w:tcW w:w="2720" w:type="dxa"/>
            <w:vAlign w:val="bottom"/>
            <w:gridSpan w:val="4"/>
            <w:shd w:val="clear" w:color="auto" w:fill="E3EAEE"/>
          </w:tcPr>
          <w:p>
            <w:pPr>
              <w:jc w:val="right"/>
              <w:ind w:right="8"/>
              <w:spacing w:after="0"/>
              <w:rPr>
                <w:sz w:val="20"/>
                <w:szCs w:val="20"/>
                <w:color w:val="auto"/>
              </w:rPr>
            </w:pPr>
            <w:r>
              <w:rPr>
                <w:rFonts w:ascii="Arial" w:cs="Arial" w:eastAsia="Arial" w:hAnsi="Arial"/>
                <w:sz w:val="14"/>
                <w:szCs w:val="14"/>
                <w:b w:val="1"/>
                <w:bCs w:val="1"/>
                <w:color w:val="1478A3"/>
              </w:rPr>
              <w:t xml:space="preserve">unvested prior year </w:t>
            </w:r>
            <w:r>
              <w:rPr>
                <w:rFonts w:ascii="Arial" w:cs="Arial" w:eastAsia="Arial" w:hAnsi="Arial"/>
                <w:sz w:val="14"/>
                <w:szCs w:val="14"/>
                <w:color w:val="1478A3"/>
              </w:rPr>
              <w:t>the forfeiture date</w:t>
            </w:r>
            <w:r>
              <w:rPr>
                <w:rFonts w:ascii="Arial" w:cs="Arial" w:eastAsia="Arial" w:hAnsi="Arial"/>
                <w:sz w:val="9"/>
                <w:szCs w:val="9"/>
                <w:color w:val="1478A3"/>
              </w:rPr>
              <w:t>(8)</w:t>
            </w:r>
          </w:p>
        </w:tc>
        <w:tc>
          <w:tcPr>
            <w:tcW w:w="340" w:type="dxa"/>
            <w:vAlign w:val="bottom"/>
            <w:shd w:val="clear" w:color="auto" w:fill="E3EAEE"/>
          </w:tcPr>
          <w:p>
            <w:pPr>
              <w:spacing w:after="0"/>
              <w:rPr>
                <w:sz w:val="15"/>
                <w:szCs w:val="15"/>
                <w:color w:val="auto"/>
              </w:rPr>
            </w:pPr>
          </w:p>
        </w:tc>
        <w:tc>
          <w:tcPr>
            <w:tcW w:w="900" w:type="dxa"/>
            <w:vAlign w:val="bottom"/>
            <w:gridSpan w:val="2"/>
            <w:shd w:val="clear" w:color="auto" w:fill="E3EAEE"/>
          </w:tcPr>
          <w:p>
            <w:pPr>
              <w:jc w:val="center"/>
              <w:ind w:right="400"/>
              <w:spacing w:after="0" w:line="176" w:lineRule="exact"/>
              <w:rPr>
                <w:sz w:val="20"/>
                <w:szCs w:val="20"/>
                <w:color w:val="auto"/>
              </w:rPr>
            </w:pPr>
            <w:r>
              <w:rPr>
                <w:rFonts w:ascii="Arial" w:cs="Arial" w:eastAsia="Arial" w:hAnsi="Arial"/>
                <w:sz w:val="20"/>
                <w:szCs w:val="20"/>
                <w:b w:val="1"/>
                <w:bCs w:val="1"/>
                <w:color w:val="1478A3"/>
                <w:vertAlign w:val="subscript"/>
              </w:rPr>
              <w:t>PEO</w:t>
            </w:r>
            <w:r>
              <w:rPr>
                <w:rFonts w:ascii="Arial" w:cs="Arial" w:eastAsia="Arial" w:hAnsi="Arial"/>
                <w:sz w:val="8"/>
                <w:szCs w:val="8"/>
                <w:b w:val="1"/>
                <w:bCs w:val="1"/>
                <w:color w:val="1478A3"/>
              </w:rPr>
              <w:t>(8)</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Compensation</w:t>
            </w:r>
          </w:p>
        </w:tc>
        <w:tc>
          <w:tcPr>
            <w:tcW w:w="120" w:type="dxa"/>
            <w:vAlign w:val="bottom"/>
            <w:shd w:val="clear" w:color="auto" w:fill="E3EAEE"/>
          </w:tcPr>
          <w:p>
            <w:pPr>
              <w:spacing w:after="0"/>
              <w:rPr>
                <w:sz w:val="15"/>
                <w:szCs w:val="15"/>
                <w:color w:val="auto"/>
              </w:rPr>
            </w:pPr>
          </w:p>
        </w:tc>
        <w:tc>
          <w:tcPr>
            <w:tcW w:w="460" w:type="dxa"/>
            <w:vAlign w:val="bottom"/>
            <w:shd w:val="clear" w:color="auto" w:fill="E3EAEE"/>
          </w:tcPr>
          <w:p>
            <w:pPr>
              <w:spacing w:after="0"/>
              <w:rPr>
                <w:sz w:val="15"/>
                <w:szCs w:val="15"/>
                <w:color w:val="auto"/>
              </w:rPr>
            </w:pPr>
          </w:p>
        </w:tc>
        <w:tc>
          <w:tcPr>
            <w:tcW w:w="460" w:type="dxa"/>
            <w:vAlign w:val="bottom"/>
            <w:shd w:val="clear" w:color="auto" w:fill="E3EAEE"/>
          </w:tcPr>
          <w:p>
            <w:pPr>
              <w:spacing w:after="0"/>
              <w:rPr>
                <w:sz w:val="15"/>
                <w:szCs w:val="15"/>
                <w:color w:val="auto"/>
              </w:rPr>
            </w:pPr>
          </w:p>
        </w:tc>
        <w:tc>
          <w:tcPr>
            <w:tcW w:w="100" w:type="dxa"/>
            <w:vAlign w:val="bottom"/>
            <w:shd w:val="clear" w:color="auto" w:fill="E3EAEE"/>
          </w:tcPr>
          <w:p>
            <w:pPr>
              <w:spacing w:after="0"/>
              <w:rPr>
                <w:sz w:val="15"/>
                <w:szCs w:val="15"/>
                <w:color w:val="auto"/>
              </w:rPr>
            </w:pPr>
          </w:p>
        </w:tc>
        <w:tc>
          <w:tcPr>
            <w:tcW w:w="1320" w:type="dxa"/>
            <w:vAlign w:val="bottom"/>
            <w:gridSpan w:val="2"/>
            <w:shd w:val="clear" w:color="auto" w:fill="E3EAEE"/>
          </w:tcPr>
          <w:p>
            <w:pPr>
              <w:jc w:val="center"/>
              <w:ind w:right="68"/>
              <w:spacing w:after="0"/>
              <w:rPr>
                <w:sz w:val="20"/>
                <w:szCs w:val="20"/>
                <w:color w:val="auto"/>
              </w:rPr>
            </w:pPr>
            <w:r>
              <w:rPr>
                <w:rFonts w:ascii="Arial" w:cs="Arial" w:eastAsia="Arial" w:hAnsi="Arial"/>
                <w:sz w:val="14"/>
                <w:szCs w:val="14"/>
                <w:b w:val="1"/>
                <w:bCs w:val="1"/>
                <w:color w:val="1478A3"/>
              </w:rPr>
              <w:t>granted within</w:t>
            </w:r>
          </w:p>
        </w:tc>
        <w:tc>
          <w:tcPr>
            <w:tcW w:w="100" w:type="dxa"/>
            <w:vAlign w:val="bottom"/>
            <w:shd w:val="clear" w:color="auto" w:fill="E3EAEE"/>
          </w:tcPr>
          <w:p>
            <w:pPr>
              <w:spacing w:after="0"/>
              <w:rPr>
                <w:sz w:val="15"/>
                <w:szCs w:val="15"/>
                <w:color w:val="auto"/>
              </w:rPr>
            </w:pPr>
          </w:p>
        </w:tc>
        <w:tc>
          <w:tcPr>
            <w:tcW w:w="1000" w:type="dxa"/>
            <w:vAlign w:val="bottom"/>
            <w:gridSpan w:val="2"/>
            <w:shd w:val="clear" w:color="auto" w:fill="E3EAEE"/>
          </w:tcPr>
          <w:p>
            <w:pPr>
              <w:jc w:val="center"/>
              <w:ind w:right="100"/>
              <w:spacing w:after="0"/>
              <w:rPr>
                <w:sz w:val="20"/>
                <w:szCs w:val="20"/>
                <w:color w:val="auto"/>
              </w:rPr>
            </w:pPr>
            <w:r>
              <w:rPr>
                <w:rFonts w:ascii="Arial" w:cs="Arial" w:eastAsia="Arial" w:hAnsi="Arial"/>
                <w:sz w:val="14"/>
                <w:szCs w:val="14"/>
                <w:b w:val="1"/>
                <w:bCs w:val="1"/>
                <w:color w:val="1478A3"/>
              </w:rPr>
              <w:t>granted and</w:t>
            </w:r>
          </w:p>
        </w:tc>
        <w:tc>
          <w:tcPr>
            <w:tcW w:w="1560" w:type="dxa"/>
            <w:vAlign w:val="bottom"/>
            <w:tcBorders>
              <w:right w:val="single" w:sz="8" w:color="E3EAEE"/>
            </w:tcBorders>
            <w:gridSpan w:val="3"/>
            <w:shd w:val="clear" w:color="auto" w:fill="E3EAEE"/>
          </w:tcPr>
          <w:p>
            <w:pPr>
              <w:jc w:val="center"/>
              <w:ind w:right="20"/>
              <w:spacing w:after="0"/>
              <w:rPr>
                <w:sz w:val="20"/>
                <w:szCs w:val="20"/>
                <w:color w:val="auto"/>
              </w:rPr>
            </w:pPr>
            <w:r>
              <w:rPr>
                <w:rFonts w:ascii="Arial" w:cs="Arial" w:eastAsia="Arial" w:hAnsi="Arial"/>
                <w:sz w:val="14"/>
                <w:szCs w:val="14"/>
                <w:b w:val="1"/>
                <w:bCs w:val="1"/>
                <w:color w:val="1478A3"/>
              </w:rPr>
              <w:t>awards made in prior</w:t>
            </w:r>
          </w:p>
        </w:tc>
        <w:tc>
          <w:tcPr>
            <w:tcW w:w="1400" w:type="dxa"/>
            <w:vAlign w:val="bottom"/>
            <w:gridSpan w:val="2"/>
            <w:shd w:val="clear" w:color="auto" w:fill="E3EAEE"/>
          </w:tcPr>
          <w:p>
            <w:pPr>
              <w:jc w:val="center"/>
              <w:spacing w:after="0"/>
              <w:rPr>
                <w:sz w:val="20"/>
                <w:szCs w:val="20"/>
                <w:color w:val="auto"/>
              </w:rPr>
            </w:pPr>
            <w:r>
              <w:rPr>
                <w:rFonts w:ascii="Arial" w:cs="Arial" w:eastAsia="Arial" w:hAnsi="Arial"/>
                <w:sz w:val="14"/>
                <w:szCs w:val="14"/>
                <w:b w:val="1"/>
                <w:bCs w:val="1"/>
                <w:color w:val="1478A3"/>
              </w:rPr>
              <w:t>equity awards</w:t>
            </w:r>
          </w:p>
        </w:tc>
        <w:tc>
          <w:tcPr>
            <w:tcW w:w="420" w:type="dxa"/>
            <w:vAlign w:val="bottom"/>
            <w:shd w:val="clear" w:color="auto" w:fill="E3EAEE"/>
          </w:tcPr>
          <w:p>
            <w:pPr>
              <w:spacing w:after="0"/>
              <w:rPr>
                <w:sz w:val="15"/>
                <w:szCs w:val="15"/>
                <w:color w:val="auto"/>
              </w:rPr>
            </w:pPr>
          </w:p>
        </w:tc>
        <w:tc>
          <w:tcPr>
            <w:tcW w:w="900" w:type="dxa"/>
            <w:vAlign w:val="bottom"/>
            <w:shd w:val="clear" w:color="auto" w:fill="E3EAEE"/>
          </w:tcPr>
          <w:p>
            <w:pPr>
              <w:spacing w:after="0"/>
              <w:rPr>
                <w:sz w:val="15"/>
                <w:szCs w:val="15"/>
                <w:color w:val="auto"/>
              </w:rPr>
            </w:pPr>
          </w:p>
        </w:tc>
        <w:tc>
          <w:tcPr>
            <w:tcW w:w="340" w:type="dxa"/>
            <w:vAlign w:val="bottom"/>
            <w:shd w:val="clear" w:color="auto" w:fill="E3EAEE"/>
          </w:tcPr>
          <w:p>
            <w:pPr>
              <w:spacing w:after="0"/>
              <w:rPr>
                <w:sz w:val="15"/>
                <w:szCs w:val="15"/>
                <w:color w:val="auto"/>
              </w:rPr>
            </w:pPr>
          </w:p>
        </w:tc>
        <w:tc>
          <w:tcPr>
            <w:tcW w:w="520" w:type="dxa"/>
            <w:vAlign w:val="bottom"/>
            <w:shd w:val="clear" w:color="auto" w:fill="E3EAEE"/>
          </w:tcPr>
          <w:p>
            <w:pPr>
              <w:spacing w:after="0"/>
              <w:rPr>
                <w:sz w:val="15"/>
                <w:szCs w:val="15"/>
                <w:color w:val="auto"/>
              </w:rPr>
            </w:pPr>
          </w:p>
        </w:tc>
        <w:tc>
          <w:tcPr>
            <w:tcW w:w="380" w:type="dxa"/>
            <w:vAlign w:val="bottom"/>
            <w:shd w:val="clear" w:color="auto" w:fill="E3EAE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20" w:type="dxa"/>
            <w:vAlign w:val="bottom"/>
          </w:tcPr>
          <w:p>
            <w:pPr>
              <w:spacing w:after="0"/>
              <w:rPr>
                <w:sz w:val="15"/>
                <w:szCs w:val="15"/>
                <w:color w:val="auto"/>
              </w:rPr>
            </w:pP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Table (SCT)</w:t>
            </w:r>
          </w:p>
        </w:tc>
        <w:tc>
          <w:tcPr>
            <w:tcW w:w="120" w:type="dxa"/>
            <w:vAlign w:val="bottom"/>
            <w:shd w:val="clear" w:color="auto" w:fill="E3EAEE"/>
          </w:tcPr>
          <w:p>
            <w:pPr>
              <w:spacing w:after="0"/>
              <w:rPr>
                <w:sz w:val="15"/>
                <w:szCs w:val="15"/>
                <w:color w:val="auto"/>
              </w:rPr>
            </w:pPr>
          </w:p>
        </w:tc>
        <w:tc>
          <w:tcPr>
            <w:tcW w:w="460" w:type="dxa"/>
            <w:vAlign w:val="bottom"/>
            <w:shd w:val="clear" w:color="auto" w:fill="E3EAEE"/>
          </w:tcPr>
          <w:p>
            <w:pPr>
              <w:spacing w:after="0"/>
              <w:rPr>
                <w:sz w:val="15"/>
                <w:szCs w:val="15"/>
                <w:color w:val="auto"/>
              </w:rPr>
            </w:pPr>
          </w:p>
        </w:tc>
        <w:tc>
          <w:tcPr>
            <w:tcW w:w="460" w:type="dxa"/>
            <w:vAlign w:val="bottom"/>
            <w:shd w:val="clear" w:color="auto" w:fill="E3EAEE"/>
          </w:tcPr>
          <w:p>
            <w:pPr>
              <w:spacing w:after="0"/>
              <w:rPr>
                <w:sz w:val="15"/>
                <w:szCs w:val="15"/>
                <w:color w:val="auto"/>
              </w:rPr>
            </w:pPr>
          </w:p>
        </w:tc>
        <w:tc>
          <w:tcPr>
            <w:tcW w:w="100" w:type="dxa"/>
            <w:vAlign w:val="bottom"/>
            <w:shd w:val="clear" w:color="auto" w:fill="E3EAEE"/>
          </w:tcPr>
          <w:p>
            <w:pPr>
              <w:spacing w:after="0"/>
              <w:rPr>
                <w:sz w:val="15"/>
                <w:szCs w:val="15"/>
                <w:color w:val="auto"/>
              </w:rPr>
            </w:pPr>
          </w:p>
        </w:tc>
        <w:tc>
          <w:tcPr>
            <w:tcW w:w="1320" w:type="dxa"/>
            <w:vAlign w:val="bottom"/>
            <w:gridSpan w:val="2"/>
            <w:shd w:val="clear" w:color="auto" w:fill="E3EAEE"/>
          </w:tcPr>
          <w:p>
            <w:pPr>
              <w:jc w:val="center"/>
              <w:ind w:right="48"/>
              <w:spacing w:after="0" w:line="178" w:lineRule="exact"/>
              <w:rPr>
                <w:sz w:val="20"/>
                <w:szCs w:val="20"/>
                <w:color w:val="auto"/>
              </w:rPr>
            </w:pPr>
            <w:r>
              <w:rPr>
                <w:rFonts w:ascii="Arial" w:cs="Arial" w:eastAsia="Arial" w:hAnsi="Arial"/>
                <w:sz w:val="14"/>
                <w:szCs w:val="14"/>
                <w:b w:val="1"/>
                <w:bCs w:val="1"/>
                <w:color w:val="1478A3"/>
              </w:rPr>
              <w:t>applicable year</w:t>
            </w:r>
            <w:r>
              <w:rPr>
                <w:rFonts w:ascii="Arial" w:cs="Arial" w:eastAsia="Arial" w:hAnsi="Arial"/>
                <w:sz w:val="18"/>
                <w:szCs w:val="18"/>
                <w:b w:val="1"/>
                <w:bCs w:val="1"/>
                <w:color w:val="1478A3"/>
                <w:vertAlign w:val="superscript"/>
              </w:rPr>
              <w:t>(8)</w:t>
            </w:r>
          </w:p>
        </w:tc>
        <w:tc>
          <w:tcPr>
            <w:tcW w:w="1100" w:type="dxa"/>
            <w:vAlign w:val="bottom"/>
            <w:gridSpan w:val="3"/>
            <w:shd w:val="clear" w:color="auto" w:fill="E3EAEE"/>
          </w:tcPr>
          <w:p>
            <w:pPr>
              <w:jc w:val="center"/>
              <w:ind w:right="20"/>
              <w:spacing w:after="0"/>
              <w:rPr>
                <w:sz w:val="20"/>
                <w:szCs w:val="20"/>
                <w:color w:val="auto"/>
              </w:rPr>
            </w:pPr>
            <w:r>
              <w:rPr>
                <w:rFonts w:ascii="Arial" w:cs="Arial" w:eastAsia="Arial" w:hAnsi="Arial"/>
                <w:sz w:val="14"/>
                <w:szCs w:val="14"/>
                <w:b w:val="1"/>
                <w:bCs w:val="1"/>
                <w:color w:val="1478A3"/>
              </w:rPr>
              <w:t>vested within</w:t>
            </w:r>
          </w:p>
        </w:tc>
        <w:tc>
          <w:tcPr>
            <w:tcW w:w="100" w:type="dxa"/>
            <w:vAlign w:val="bottom"/>
            <w:shd w:val="clear" w:color="auto" w:fill="E3EAEE"/>
          </w:tcPr>
          <w:p>
            <w:pPr>
              <w:spacing w:after="0"/>
              <w:rPr>
                <w:sz w:val="15"/>
                <w:szCs w:val="15"/>
                <w:color w:val="auto"/>
              </w:rPr>
            </w:pPr>
          </w:p>
        </w:tc>
        <w:tc>
          <w:tcPr>
            <w:tcW w:w="1460" w:type="dxa"/>
            <w:vAlign w:val="bottom"/>
            <w:tcBorders>
              <w:right w:val="single" w:sz="8" w:color="E3EAEE"/>
            </w:tcBorders>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fiscal years that</w:t>
            </w:r>
          </w:p>
        </w:tc>
        <w:tc>
          <w:tcPr>
            <w:tcW w:w="320" w:type="dxa"/>
            <w:vAlign w:val="bottom"/>
            <w:shd w:val="clear" w:color="auto" w:fill="E3EAEE"/>
          </w:tcPr>
          <w:p>
            <w:pPr>
              <w:spacing w:after="0"/>
              <w:rPr>
                <w:sz w:val="15"/>
                <w:szCs w:val="15"/>
                <w:color w:val="auto"/>
              </w:rPr>
            </w:pPr>
          </w:p>
        </w:tc>
        <w:tc>
          <w:tcPr>
            <w:tcW w:w="1080" w:type="dxa"/>
            <w:vAlign w:val="bottom"/>
            <w:shd w:val="clear" w:color="auto" w:fill="E3EAEE"/>
          </w:tcPr>
          <w:p>
            <w:pPr>
              <w:spacing w:after="0"/>
              <w:rPr>
                <w:sz w:val="15"/>
                <w:szCs w:val="15"/>
                <w:color w:val="auto"/>
              </w:rPr>
            </w:pPr>
          </w:p>
        </w:tc>
        <w:tc>
          <w:tcPr>
            <w:tcW w:w="420" w:type="dxa"/>
            <w:vAlign w:val="bottom"/>
            <w:shd w:val="clear" w:color="auto" w:fill="E3EAEE"/>
          </w:tcPr>
          <w:p>
            <w:pPr>
              <w:spacing w:after="0"/>
              <w:rPr>
                <w:sz w:val="15"/>
                <w:szCs w:val="15"/>
                <w:color w:val="auto"/>
              </w:rPr>
            </w:pPr>
          </w:p>
        </w:tc>
        <w:tc>
          <w:tcPr>
            <w:tcW w:w="900" w:type="dxa"/>
            <w:vAlign w:val="bottom"/>
            <w:shd w:val="clear" w:color="auto" w:fill="E3EAEE"/>
          </w:tcPr>
          <w:p>
            <w:pPr>
              <w:spacing w:after="0"/>
              <w:rPr>
                <w:sz w:val="15"/>
                <w:szCs w:val="15"/>
                <w:color w:val="auto"/>
              </w:rPr>
            </w:pPr>
          </w:p>
        </w:tc>
        <w:tc>
          <w:tcPr>
            <w:tcW w:w="340" w:type="dxa"/>
            <w:vAlign w:val="bottom"/>
            <w:shd w:val="clear" w:color="auto" w:fill="E3EAEE"/>
          </w:tcPr>
          <w:p>
            <w:pPr>
              <w:spacing w:after="0"/>
              <w:rPr>
                <w:sz w:val="15"/>
                <w:szCs w:val="15"/>
                <w:color w:val="auto"/>
              </w:rPr>
            </w:pPr>
          </w:p>
        </w:tc>
        <w:tc>
          <w:tcPr>
            <w:tcW w:w="520" w:type="dxa"/>
            <w:vAlign w:val="bottom"/>
            <w:shd w:val="clear" w:color="auto" w:fill="E3EAEE"/>
          </w:tcPr>
          <w:p>
            <w:pPr>
              <w:spacing w:after="0"/>
              <w:rPr>
                <w:sz w:val="15"/>
                <w:szCs w:val="15"/>
                <w:color w:val="auto"/>
              </w:rPr>
            </w:pPr>
          </w:p>
        </w:tc>
        <w:tc>
          <w:tcPr>
            <w:tcW w:w="380" w:type="dxa"/>
            <w:vAlign w:val="bottom"/>
            <w:shd w:val="clear" w:color="auto" w:fill="E3EAE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280" w:type="dxa"/>
            <w:vAlign w:val="bottom"/>
            <w:shd w:val="clear" w:color="auto" w:fill="E3EAEE"/>
          </w:tcPr>
          <w:p>
            <w:pPr>
              <w:spacing w:after="0"/>
              <w:rPr>
                <w:sz w:val="14"/>
                <w:szCs w:val="14"/>
                <w:color w:val="auto"/>
              </w:rPr>
            </w:pPr>
          </w:p>
        </w:tc>
        <w:tc>
          <w:tcPr>
            <w:tcW w:w="120" w:type="dxa"/>
            <w:vAlign w:val="bottom"/>
            <w:shd w:val="clear" w:color="auto" w:fill="E3EAEE"/>
          </w:tcPr>
          <w:p>
            <w:pPr>
              <w:spacing w:after="0"/>
              <w:rPr>
                <w:sz w:val="14"/>
                <w:szCs w:val="14"/>
                <w:color w:val="auto"/>
              </w:rPr>
            </w:pPr>
          </w:p>
        </w:tc>
        <w:tc>
          <w:tcPr>
            <w:tcW w:w="460" w:type="dxa"/>
            <w:vAlign w:val="bottom"/>
            <w:shd w:val="clear" w:color="auto" w:fill="E3EAEE"/>
          </w:tcPr>
          <w:p>
            <w:pPr>
              <w:spacing w:after="0"/>
              <w:rPr>
                <w:sz w:val="14"/>
                <w:szCs w:val="14"/>
                <w:color w:val="auto"/>
              </w:rPr>
            </w:pPr>
          </w:p>
        </w:tc>
        <w:tc>
          <w:tcPr>
            <w:tcW w:w="460" w:type="dxa"/>
            <w:vAlign w:val="bottom"/>
            <w:shd w:val="clear" w:color="auto" w:fill="E3EAEE"/>
          </w:tcPr>
          <w:p>
            <w:pPr>
              <w:spacing w:after="0"/>
              <w:rPr>
                <w:sz w:val="14"/>
                <w:szCs w:val="14"/>
                <w:color w:val="auto"/>
              </w:rPr>
            </w:pPr>
          </w:p>
        </w:tc>
        <w:tc>
          <w:tcPr>
            <w:tcW w:w="100" w:type="dxa"/>
            <w:vAlign w:val="bottom"/>
            <w:shd w:val="clear" w:color="auto" w:fill="E3EAEE"/>
          </w:tcPr>
          <w:p>
            <w:pPr>
              <w:spacing w:after="0"/>
              <w:rPr>
                <w:sz w:val="14"/>
                <w:szCs w:val="14"/>
                <w:color w:val="auto"/>
              </w:rPr>
            </w:pPr>
          </w:p>
        </w:tc>
        <w:tc>
          <w:tcPr>
            <w:tcW w:w="320" w:type="dxa"/>
            <w:vAlign w:val="bottom"/>
            <w:shd w:val="clear" w:color="auto" w:fill="E3EAEE"/>
          </w:tcPr>
          <w:p>
            <w:pPr>
              <w:spacing w:after="0"/>
              <w:rPr>
                <w:sz w:val="14"/>
                <w:szCs w:val="14"/>
                <w:color w:val="auto"/>
              </w:rPr>
            </w:pPr>
          </w:p>
        </w:tc>
        <w:tc>
          <w:tcPr>
            <w:tcW w:w="1000" w:type="dxa"/>
            <w:vAlign w:val="bottom"/>
            <w:shd w:val="clear" w:color="auto" w:fill="E3EAEE"/>
          </w:tcPr>
          <w:p>
            <w:pPr>
              <w:spacing w:after="0"/>
              <w:rPr>
                <w:sz w:val="14"/>
                <w:szCs w:val="14"/>
                <w:color w:val="auto"/>
              </w:rPr>
            </w:pPr>
          </w:p>
        </w:tc>
        <w:tc>
          <w:tcPr>
            <w:tcW w:w="100" w:type="dxa"/>
            <w:vAlign w:val="bottom"/>
            <w:shd w:val="clear" w:color="auto" w:fill="E3EAEE"/>
          </w:tcPr>
          <w:p>
            <w:pPr>
              <w:spacing w:after="0"/>
              <w:rPr>
                <w:sz w:val="14"/>
                <w:szCs w:val="14"/>
                <w:color w:val="auto"/>
              </w:rPr>
            </w:pPr>
          </w:p>
        </w:tc>
        <w:tc>
          <w:tcPr>
            <w:tcW w:w="1000" w:type="dxa"/>
            <w:vAlign w:val="bottom"/>
            <w:gridSpan w:val="2"/>
            <w:shd w:val="clear" w:color="auto" w:fill="E3EAEE"/>
          </w:tcPr>
          <w:p>
            <w:pPr>
              <w:jc w:val="center"/>
              <w:ind w:right="100"/>
              <w:spacing w:after="0"/>
              <w:rPr>
                <w:sz w:val="20"/>
                <w:szCs w:val="20"/>
                <w:color w:val="auto"/>
              </w:rPr>
            </w:pPr>
            <w:r>
              <w:rPr>
                <w:rFonts w:ascii="Arial" w:cs="Arial" w:eastAsia="Arial" w:hAnsi="Arial"/>
                <w:sz w:val="14"/>
                <w:szCs w:val="14"/>
                <w:b w:val="1"/>
                <w:bCs w:val="1"/>
                <w:color w:val="1478A3"/>
              </w:rPr>
              <w:t>applicable</w:t>
            </w:r>
          </w:p>
        </w:tc>
        <w:tc>
          <w:tcPr>
            <w:tcW w:w="100" w:type="dxa"/>
            <w:vAlign w:val="bottom"/>
            <w:shd w:val="clear" w:color="auto" w:fill="E3EAEE"/>
          </w:tcPr>
          <w:p>
            <w:pPr>
              <w:spacing w:after="0"/>
              <w:rPr>
                <w:sz w:val="14"/>
                <w:szCs w:val="14"/>
                <w:color w:val="auto"/>
              </w:rPr>
            </w:pPr>
          </w:p>
        </w:tc>
        <w:tc>
          <w:tcPr>
            <w:tcW w:w="1460" w:type="dxa"/>
            <w:vAlign w:val="bottom"/>
            <w:tcBorders>
              <w:right w:val="single" w:sz="8" w:color="E3EAEE"/>
            </w:tcBorders>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vested during</w:t>
            </w:r>
          </w:p>
        </w:tc>
        <w:tc>
          <w:tcPr>
            <w:tcW w:w="320" w:type="dxa"/>
            <w:vAlign w:val="bottom"/>
            <w:shd w:val="clear" w:color="auto" w:fill="E3EAEE"/>
          </w:tcPr>
          <w:p>
            <w:pPr>
              <w:spacing w:after="0"/>
              <w:rPr>
                <w:sz w:val="14"/>
                <w:szCs w:val="14"/>
                <w:color w:val="auto"/>
              </w:rPr>
            </w:pPr>
          </w:p>
        </w:tc>
        <w:tc>
          <w:tcPr>
            <w:tcW w:w="1080" w:type="dxa"/>
            <w:vAlign w:val="bottom"/>
            <w:shd w:val="clear" w:color="auto" w:fill="E3EAEE"/>
          </w:tcPr>
          <w:p>
            <w:pPr>
              <w:spacing w:after="0"/>
              <w:rPr>
                <w:sz w:val="14"/>
                <w:szCs w:val="14"/>
                <w:color w:val="auto"/>
              </w:rPr>
            </w:pPr>
          </w:p>
        </w:tc>
        <w:tc>
          <w:tcPr>
            <w:tcW w:w="420" w:type="dxa"/>
            <w:vAlign w:val="bottom"/>
            <w:shd w:val="clear" w:color="auto" w:fill="E3EAEE"/>
          </w:tcPr>
          <w:p>
            <w:pPr>
              <w:spacing w:after="0"/>
              <w:rPr>
                <w:sz w:val="14"/>
                <w:szCs w:val="14"/>
                <w:color w:val="auto"/>
              </w:rPr>
            </w:pPr>
          </w:p>
        </w:tc>
        <w:tc>
          <w:tcPr>
            <w:tcW w:w="900" w:type="dxa"/>
            <w:vAlign w:val="bottom"/>
            <w:shd w:val="clear" w:color="auto" w:fill="E3EAEE"/>
          </w:tcPr>
          <w:p>
            <w:pPr>
              <w:spacing w:after="0"/>
              <w:rPr>
                <w:sz w:val="14"/>
                <w:szCs w:val="14"/>
                <w:color w:val="auto"/>
              </w:rPr>
            </w:pPr>
          </w:p>
        </w:tc>
        <w:tc>
          <w:tcPr>
            <w:tcW w:w="340" w:type="dxa"/>
            <w:vAlign w:val="bottom"/>
            <w:shd w:val="clear" w:color="auto" w:fill="E3EAEE"/>
          </w:tcPr>
          <w:p>
            <w:pPr>
              <w:spacing w:after="0"/>
              <w:rPr>
                <w:sz w:val="14"/>
                <w:szCs w:val="14"/>
                <w:color w:val="auto"/>
              </w:rPr>
            </w:pPr>
          </w:p>
        </w:tc>
        <w:tc>
          <w:tcPr>
            <w:tcW w:w="520" w:type="dxa"/>
            <w:vAlign w:val="bottom"/>
            <w:shd w:val="clear" w:color="auto" w:fill="E3EAEE"/>
          </w:tcPr>
          <w:p>
            <w:pPr>
              <w:spacing w:after="0"/>
              <w:rPr>
                <w:sz w:val="14"/>
                <w:szCs w:val="14"/>
                <w:color w:val="auto"/>
              </w:rPr>
            </w:pPr>
          </w:p>
        </w:tc>
        <w:tc>
          <w:tcPr>
            <w:tcW w:w="380" w:type="dxa"/>
            <w:vAlign w:val="bottom"/>
            <w:shd w:val="clear" w:color="auto" w:fill="E3EAE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1478A3"/>
              </w:rPr>
              <w:t>Year</w:t>
            </w:r>
          </w:p>
        </w:tc>
        <w:tc>
          <w:tcPr>
            <w:tcW w:w="1280" w:type="dxa"/>
            <w:vAlign w:val="bottom"/>
            <w:shd w:val="clear" w:color="auto" w:fill="E3EAEE"/>
          </w:tcPr>
          <w:p>
            <w:pPr>
              <w:spacing w:after="0"/>
              <w:rPr>
                <w:sz w:val="17"/>
                <w:szCs w:val="17"/>
                <w:color w:val="auto"/>
              </w:rPr>
            </w:pPr>
          </w:p>
        </w:tc>
        <w:tc>
          <w:tcPr>
            <w:tcW w:w="120" w:type="dxa"/>
            <w:vAlign w:val="bottom"/>
            <w:shd w:val="clear" w:color="auto" w:fill="E3EAEE"/>
          </w:tcPr>
          <w:p>
            <w:pPr>
              <w:spacing w:after="0"/>
              <w:rPr>
                <w:sz w:val="17"/>
                <w:szCs w:val="17"/>
                <w:color w:val="auto"/>
              </w:rPr>
            </w:pPr>
          </w:p>
        </w:tc>
        <w:tc>
          <w:tcPr>
            <w:tcW w:w="460" w:type="dxa"/>
            <w:vAlign w:val="bottom"/>
            <w:shd w:val="clear" w:color="auto" w:fill="E3EAEE"/>
          </w:tcPr>
          <w:p>
            <w:pPr>
              <w:spacing w:after="0"/>
              <w:rPr>
                <w:sz w:val="17"/>
                <w:szCs w:val="17"/>
                <w:color w:val="auto"/>
              </w:rPr>
            </w:pPr>
          </w:p>
        </w:tc>
        <w:tc>
          <w:tcPr>
            <w:tcW w:w="460" w:type="dxa"/>
            <w:vAlign w:val="bottom"/>
            <w:shd w:val="clear" w:color="auto" w:fill="E3EAEE"/>
          </w:tcPr>
          <w:p>
            <w:pPr>
              <w:spacing w:after="0"/>
              <w:rPr>
                <w:sz w:val="17"/>
                <w:szCs w:val="17"/>
                <w:color w:val="auto"/>
              </w:rPr>
            </w:pPr>
          </w:p>
        </w:tc>
        <w:tc>
          <w:tcPr>
            <w:tcW w:w="100" w:type="dxa"/>
            <w:vAlign w:val="bottom"/>
            <w:shd w:val="clear" w:color="auto" w:fill="E3EAEE"/>
          </w:tcPr>
          <w:p>
            <w:pPr>
              <w:spacing w:after="0"/>
              <w:rPr>
                <w:sz w:val="17"/>
                <w:szCs w:val="17"/>
                <w:color w:val="auto"/>
              </w:rPr>
            </w:pPr>
          </w:p>
        </w:tc>
        <w:tc>
          <w:tcPr>
            <w:tcW w:w="320" w:type="dxa"/>
            <w:vAlign w:val="bottom"/>
            <w:shd w:val="clear" w:color="auto" w:fill="E3EAEE"/>
          </w:tcPr>
          <w:p>
            <w:pPr>
              <w:spacing w:after="0"/>
              <w:rPr>
                <w:sz w:val="17"/>
                <w:szCs w:val="17"/>
                <w:color w:val="auto"/>
              </w:rPr>
            </w:pPr>
          </w:p>
        </w:tc>
        <w:tc>
          <w:tcPr>
            <w:tcW w:w="1000" w:type="dxa"/>
            <w:vAlign w:val="bottom"/>
            <w:shd w:val="clear" w:color="auto" w:fill="E3EAEE"/>
          </w:tcPr>
          <w:p>
            <w:pPr>
              <w:spacing w:after="0"/>
              <w:rPr>
                <w:sz w:val="17"/>
                <w:szCs w:val="17"/>
                <w:color w:val="auto"/>
              </w:rPr>
            </w:pPr>
          </w:p>
        </w:tc>
        <w:tc>
          <w:tcPr>
            <w:tcW w:w="100" w:type="dxa"/>
            <w:vAlign w:val="bottom"/>
            <w:shd w:val="clear" w:color="auto" w:fill="E3EAEE"/>
          </w:tcPr>
          <w:p>
            <w:pPr>
              <w:spacing w:after="0"/>
              <w:rPr>
                <w:sz w:val="17"/>
                <w:szCs w:val="17"/>
                <w:color w:val="auto"/>
              </w:rPr>
            </w:pPr>
          </w:p>
        </w:tc>
        <w:tc>
          <w:tcPr>
            <w:tcW w:w="1000" w:type="dxa"/>
            <w:vAlign w:val="bottom"/>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year</w:t>
            </w:r>
            <w:r>
              <w:rPr>
                <w:rFonts w:ascii="Arial" w:cs="Arial" w:eastAsia="Arial" w:hAnsi="Arial"/>
                <w:sz w:val="9"/>
                <w:szCs w:val="9"/>
                <w:b w:val="1"/>
                <w:bCs w:val="1"/>
                <w:color w:val="1478A3"/>
              </w:rPr>
              <w:t>(8)</w:t>
            </w:r>
          </w:p>
        </w:tc>
        <w:tc>
          <w:tcPr>
            <w:tcW w:w="1560" w:type="dxa"/>
            <w:vAlign w:val="bottom"/>
            <w:tcBorders>
              <w:right w:val="single" w:sz="8" w:color="E3EAEE"/>
            </w:tcBorders>
            <w:gridSpan w:val="3"/>
            <w:shd w:val="clear" w:color="auto" w:fill="E3EAEE"/>
          </w:tcPr>
          <w:p>
            <w:pPr>
              <w:jc w:val="center"/>
              <w:ind w:right="20"/>
              <w:spacing w:after="0"/>
              <w:rPr>
                <w:sz w:val="20"/>
                <w:szCs w:val="20"/>
                <w:color w:val="auto"/>
              </w:rPr>
            </w:pPr>
            <w:r>
              <w:rPr>
                <w:rFonts w:ascii="Arial" w:cs="Arial" w:eastAsia="Arial" w:hAnsi="Arial"/>
                <w:sz w:val="14"/>
                <w:szCs w:val="14"/>
                <w:b w:val="1"/>
                <w:bCs w:val="1"/>
                <w:color w:val="1478A3"/>
              </w:rPr>
              <w:t>applicable fiscal year</w:t>
            </w:r>
          </w:p>
        </w:tc>
        <w:tc>
          <w:tcPr>
            <w:tcW w:w="320" w:type="dxa"/>
            <w:vAlign w:val="bottom"/>
            <w:shd w:val="clear" w:color="auto" w:fill="E3EAEE"/>
          </w:tcPr>
          <w:p>
            <w:pPr>
              <w:spacing w:after="0"/>
              <w:rPr>
                <w:sz w:val="17"/>
                <w:szCs w:val="17"/>
                <w:color w:val="auto"/>
              </w:rPr>
            </w:pPr>
          </w:p>
        </w:tc>
        <w:tc>
          <w:tcPr>
            <w:tcW w:w="1080" w:type="dxa"/>
            <w:vAlign w:val="bottom"/>
            <w:shd w:val="clear" w:color="auto" w:fill="E3EAEE"/>
          </w:tcPr>
          <w:p>
            <w:pPr>
              <w:spacing w:after="0"/>
              <w:rPr>
                <w:sz w:val="17"/>
                <w:szCs w:val="17"/>
                <w:color w:val="auto"/>
              </w:rPr>
            </w:pPr>
          </w:p>
        </w:tc>
        <w:tc>
          <w:tcPr>
            <w:tcW w:w="420" w:type="dxa"/>
            <w:vAlign w:val="bottom"/>
            <w:shd w:val="clear" w:color="auto" w:fill="E3EAEE"/>
          </w:tcPr>
          <w:p>
            <w:pPr>
              <w:spacing w:after="0"/>
              <w:rPr>
                <w:sz w:val="17"/>
                <w:szCs w:val="17"/>
                <w:color w:val="auto"/>
              </w:rPr>
            </w:pPr>
          </w:p>
        </w:tc>
        <w:tc>
          <w:tcPr>
            <w:tcW w:w="900" w:type="dxa"/>
            <w:vAlign w:val="bottom"/>
            <w:shd w:val="clear" w:color="auto" w:fill="E3EAEE"/>
          </w:tcPr>
          <w:p>
            <w:pPr>
              <w:spacing w:after="0"/>
              <w:rPr>
                <w:sz w:val="17"/>
                <w:szCs w:val="17"/>
                <w:color w:val="auto"/>
              </w:rPr>
            </w:pPr>
          </w:p>
        </w:tc>
        <w:tc>
          <w:tcPr>
            <w:tcW w:w="340" w:type="dxa"/>
            <w:vAlign w:val="bottom"/>
            <w:shd w:val="clear" w:color="auto" w:fill="E3EAEE"/>
          </w:tcPr>
          <w:p>
            <w:pPr>
              <w:spacing w:after="0"/>
              <w:rPr>
                <w:sz w:val="17"/>
                <w:szCs w:val="17"/>
                <w:color w:val="auto"/>
              </w:rPr>
            </w:pPr>
          </w:p>
        </w:tc>
        <w:tc>
          <w:tcPr>
            <w:tcW w:w="520" w:type="dxa"/>
            <w:vAlign w:val="bottom"/>
            <w:shd w:val="clear" w:color="auto" w:fill="E3EAEE"/>
          </w:tcPr>
          <w:p>
            <w:pPr>
              <w:spacing w:after="0"/>
              <w:rPr>
                <w:sz w:val="17"/>
                <w:szCs w:val="17"/>
                <w:color w:val="auto"/>
              </w:rPr>
            </w:pPr>
          </w:p>
        </w:tc>
        <w:tc>
          <w:tcPr>
            <w:tcW w:w="380" w:type="dxa"/>
            <w:vAlign w:val="bottom"/>
            <w:shd w:val="clear" w:color="auto" w:fill="E3EAEE"/>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720" w:type="dxa"/>
            <w:vAlign w:val="bottom"/>
            <w:tcBorders>
              <w:bottom w:val="single" w:sz="8" w:color="007AA7"/>
            </w:tcBorders>
          </w:tcPr>
          <w:p>
            <w:pPr>
              <w:spacing w:after="0"/>
              <w:rPr>
                <w:sz w:val="6"/>
                <w:szCs w:val="6"/>
                <w:color w:val="auto"/>
              </w:rPr>
            </w:pPr>
          </w:p>
        </w:tc>
        <w:tc>
          <w:tcPr>
            <w:tcW w:w="1280" w:type="dxa"/>
            <w:vAlign w:val="bottom"/>
            <w:tcBorders>
              <w:bottom w:val="single" w:sz="8" w:color="007AA7"/>
            </w:tcBorders>
            <w:shd w:val="clear" w:color="auto" w:fill="E3EAEE"/>
          </w:tcPr>
          <w:p>
            <w:pPr>
              <w:spacing w:after="0"/>
              <w:rPr>
                <w:sz w:val="6"/>
                <w:szCs w:val="6"/>
                <w:color w:val="auto"/>
              </w:rPr>
            </w:pPr>
          </w:p>
        </w:tc>
        <w:tc>
          <w:tcPr>
            <w:tcW w:w="120" w:type="dxa"/>
            <w:vAlign w:val="bottom"/>
            <w:tcBorders>
              <w:bottom w:val="single" w:sz="8" w:color="007AA7"/>
            </w:tcBorders>
            <w:shd w:val="clear" w:color="auto" w:fill="E3EAEE"/>
          </w:tcPr>
          <w:p>
            <w:pPr>
              <w:spacing w:after="0"/>
              <w:rPr>
                <w:sz w:val="6"/>
                <w:szCs w:val="6"/>
                <w:color w:val="auto"/>
              </w:rPr>
            </w:pPr>
          </w:p>
        </w:tc>
        <w:tc>
          <w:tcPr>
            <w:tcW w:w="460" w:type="dxa"/>
            <w:vAlign w:val="bottom"/>
            <w:tcBorders>
              <w:bottom w:val="single" w:sz="8" w:color="007AA7"/>
            </w:tcBorders>
            <w:shd w:val="clear" w:color="auto" w:fill="E3EAEE"/>
          </w:tcPr>
          <w:p>
            <w:pPr>
              <w:spacing w:after="0"/>
              <w:rPr>
                <w:sz w:val="6"/>
                <w:szCs w:val="6"/>
                <w:color w:val="auto"/>
              </w:rPr>
            </w:pPr>
          </w:p>
        </w:tc>
        <w:tc>
          <w:tcPr>
            <w:tcW w:w="460" w:type="dxa"/>
            <w:vAlign w:val="bottom"/>
            <w:tcBorders>
              <w:bottom w:val="single" w:sz="8" w:color="007AA7"/>
            </w:tcBorders>
            <w:shd w:val="clear" w:color="auto" w:fill="E3EAEE"/>
          </w:tcPr>
          <w:p>
            <w:pPr>
              <w:spacing w:after="0"/>
              <w:rPr>
                <w:sz w:val="6"/>
                <w:szCs w:val="6"/>
                <w:color w:val="auto"/>
              </w:rPr>
            </w:pPr>
          </w:p>
        </w:tc>
        <w:tc>
          <w:tcPr>
            <w:tcW w:w="100" w:type="dxa"/>
            <w:vAlign w:val="bottom"/>
            <w:tcBorders>
              <w:bottom w:val="single" w:sz="8" w:color="007AA7"/>
            </w:tcBorders>
            <w:shd w:val="clear" w:color="auto" w:fill="E3EAEE"/>
          </w:tcPr>
          <w:p>
            <w:pPr>
              <w:spacing w:after="0"/>
              <w:rPr>
                <w:sz w:val="6"/>
                <w:szCs w:val="6"/>
                <w:color w:val="auto"/>
              </w:rPr>
            </w:pPr>
          </w:p>
        </w:tc>
        <w:tc>
          <w:tcPr>
            <w:tcW w:w="320" w:type="dxa"/>
            <w:vAlign w:val="bottom"/>
            <w:tcBorders>
              <w:bottom w:val="single" w:sz="8" w:color="007AA7"/>
            </w:tcBorders>
            <w:shd w:val="clear" w:color="auto" w:fill="E3EAEE"/>
          </w:tcPr>
          <w:p>
            <w:pPr>
              <w:spacing w:after="0"/>
              <w:rPr>
                <w:sz w:val="6"/>
                <w:szCs w:val="6"/>
                <w:color w:val="auto"/>
              </w:rPr>
            </w:pPr>
          </w:p>
        </w:tc>
        <w:tc>
          <w:tcPr>
            <w:tcW w:w="1000" w:type="dxa"/>
            <w:vAlign w:val="bottom"/>
            <w:tcBorders>
              <w:bottom w:val="single" w:sz="8" w:color="007AA7"/>
            </w:tcBorders>
            <w:shd w:val="clear" w:color="auto" w:fill="E3EAEE"/>
          </w:tcPr>
          <w:p>
            <w:pPr>
              <w:spacing w:after="0"/>
              <w:rPr>
                <w:sz w:val="6"/>
                <w:szCs w:val="6"/>
                <w:color w:val="auto"/>
              </w:rPr>
            </w:pPr>
          </w:p>
        </w:tc>
        <w:tc>
          <w:tcPr>
            <w:tcW w:w="100" w:type="dxa"/>
            <w:vAlign w:val="bottom"/>
            <w:tcBorders>
              <w:bottom w:val="single" w:sz="8" w:color="007AA7"/>
            </w:tcBorders>
            <w:shd w:val="clear" w:color="auto" w:fill="E3EAEE"/>
          </w:tcPr>
          <w:p>
            <w:pPr>
              <w:spacing w:after="0"/>
              <w:rPr>
                <w:sz w:val="6"/>
                <w:szCs w:val="6"/>
                <w:color w:val="auto"/>
              </w:rPr>
            </w:pPr>
          </w:p>
        </w:tc>
        <w:tc>
          <w:tcPr>
            <w:tcW w:w="340" w:type="dxa"/>
            <w:vAlign w:val="bottom"/>
            <w:tcBorders>
              <w:bottom w:val="single" w:sz="8" w:color="007AA7"/>
            </w:tcBorders>
            <w:shd w:val="clear" w:color="auto" w:fill="E3EAEE"/>
          </w:tcPr>
          <w:p>
            <w:pPr>
              <w:spacing w:after="0"/>
              <w:rPr>
                <w:sz w:val="6"/>
                <w:szCs w:val="6"/>
                <w:color w:val="auto"/>
              </w:rPr>
            </w:pPr>
          </w:p>
        </w:tc>
        <w:tc>
          <w:tcPr>
            <w:tcW w:w="660" w:type="dxa"/>
            <w:vAlign w:val="bottom"/>
            <w:tcBorders>
              <w:bottom w:val="single" w:sz="8" w:color="007AA7"/>
            </w:tcBorders>
            <w:shd w:val="clear" w:color="auto" w:fill="E3EAEE"/>
          </w:tcPr>
          <w:p>
            <w:pPr>
              <w:spacing w:after="0"/>
              <w:rPr>
                <w:sz w:val="6"/>
                <w:szCs w:val="6"/>
                <w:color w:val="auto"/>
              </w:rPr>
            </w:pPr>
          </w:p>
        </w:tc>
        <w:tc>
          <w:tcPr>
            <w:tcW w:w="100" w:type="dxa"/>
            <w:vAlign w:val="bottom"/>
            <w:tcBorders>
              <w:bottom w:val="single" w:sz="8" w:color="007AA7"/>
            </w:tcBorders>
            <w:shd w:val="clear" w:color="auto" w:fill="E3EAEE"/>
          </w:tcPr>
          <w:p>
            <w:pPr>
              <w:spacing w:after="0"/>
              <w:rPr>
                <w:sz w:val="6"/>
                <w:szCs w:val="6"/>
                <w:color w:val="auto"/>
              </w:rPr>
            </w:pPr>
          </w:p>
        </w:tc>
        <w:tc>
          <w:tcPr>
            <w:tcW w:w="340" w:type="dxa"/>
            <w:vAlign w:val="bottom"/>
            <w:tcBorders>
              <w:bottom w:val="single" w:sz="8" w:color="007AA7"/>
            </w:tcBorders>
            <w:shd w:val="clear" w:color="auto" w:fill="E3EAEE"/>
          </w:tcPr>
          <w:p>
            <w:pPr>
              <w:spacing w:after="0"/>
              <w:rPr>
                <w:sz w:val="6"/>
                <w:szCs w:val="6"/>
                <w:color w:val="auto"/>
              </w:rPr>
            </w:pPr>
          </w:p>
        </w:tc>
        <w:tc>
          <w:tcPr>
            <w:tcW w:w="1120" w:type="dxa"/>
            <w:vAlign w:val="bottom"/>
            <w:tcBorders>
              <w:bottom w:val="single" w:sz="8" w:color="007AA7"/>
              <w:right w:val="single" w:sz="8" w:color="E3EAEE"/>
            </w:tcBorders>
            <w:shd w:val="clear" w:color="auto" w:fill="E3EAEE"/>
          </w:tcPr>
          <w:p>
            <w:pPr>
              <w:spacing w:after="0"/>
              <w:rPr>
                <w:sz w:val="6"/>
                <w:szCs w:val="6"/>
                <w:color w:val="auto"/>
              </w:rPr>
            </w:pPr>
          </w:p>
        </w:tc>
        <w:tc>
          <w:tcPr>
            <w:tcW w:w="320" w:type="dxa"/>
            <w:vAlign w:val="bottom"/>
            <w:tcBorders>
              <w:bottom w:val="single" w:sz="8" w:color="007AA7"/>
            </w:tcBorders>
            <w:shd w:val="clear" w:color="auto" w:fill="E3EAEE"/>
          </w:tcPr>
          <w:p>
            <w:pPr>
              <w:spacing w:after="0"/>
              <w:rPr>
                <w:sz w:val="6"/>
                <w:szCs w:val="6"/>
                <w:color w:val="auto"/>
              </w:rPr>
            </w:pPr>
          </w:p>
        </w:tc>
        <w:tc>
          <w:tcPr>
            <w:tcW w:w="1080" w:type="dxa"/>
            <w:vAlign w:val="bottom"/>
            <w:tcBorders>
              <w:bottom w:val="single" w:sz="8" w:color="007AA7"/>
            </w:tcBorders>
            <w:shd w:val="clear" w:color="auto" w:fill="E3EAEE"/>
          </w:tcPr>
          <w:p>
            <w:pPr>
              <w:spacing w:after="0"/>
              <w:rPr>
                <w:sz w:val="6"/>
                <w:szCs w:val="6"/>
                <w:color w:val="auto"/>
              </w:rPr>
            </w:pPr>
          </w:p>
        </w:tc>
        <w:tc>
          <w:tcPr>
            <w:tcW w:w="420" w:type="dxa"/>
            <w:vAlign w:val="bottom"/>
            <w:tcBorders>
              <w:bottom w:val="single" w:sz="8" w:color="007AA7"/>
            </w:tcBorders>
            <w:shd w:val="clear" w:color="auto" w:fill="E3EAEE"/>
          </w:tcPr>
          <w:p>
            <w:pPr>
              <w:spacing w:after="0"/>
              <w:rPr>
                <w:sz w:val="6"/>
                <w:szCs w:val="6"/>
                <w:color w:val="auto"/>
              </w:rPr>
            </w:pPr>
          </w:p>
        </w:tc>
        <w:tc>
          <w:tcPr>
            <w:tcW w:w="900" w:type="dxa"/>
            <w:vAlign w:val="bottom"/>
            <w:tcBorders>
              <w:bottom w:val="single" w:sz="8" w:color="007AA7"/>
            </w:tcBorders>
            <w:shd w:val="clear" w:color="auto" w:fill="E3EAEE"/>
          </w:tcPr>
          <w:p>
            <w:pPr>
              <w:spacing w:after="0"/>
              <w:rPr>
                <w:sz w:val="6"/>
                <w:szCs w:val="6"/>
                <w:color w:val="auto"/>
              </w:rPr>
            </w:pPr>
          </w:p>
        </w:tc>
        <w:tc>
          <w:tcPr>
            <w:tcW w:w="340" w:type="dxa"/>
            <w:vAlign w:val="bottom"/>
            <w:tcBorders>
              <w:bottom w:val="single" w:sz="8" w:color="007AA7"/>
            </w:tcBorders>
            <w:shd w:val="clear" w:color="auto" w:fill="E3EAEE"/>
          </w:tcPr>
          <w:p>
            <w:pPr>
              <w:spacing w:after="0"/>
              <w:rPr>
                <w:sz w:val="6"/>
                <w:szCs w:val="6"/>
                <w:color w:val="auto"/>
              </w:rPr>
            </w:pPr>
          </w:p>
        </w:tc>
        <w:tc>
          <w:tcPr>
            <w:tcW w:w="520" w:type="dxa"/>
            <w:vAlign w:val="bottom"/>
            <w:tcBorders>
              <w:bottom w:val="single" w:sz="8" w:color="007AA7"/>
            </w:tcBorders>
            <w:shd w:val="clear" w:color="auto" w:fill="E3EAEE"/>
          </w:tcPr>
          <w:p>
            <w:pPr>
              <w:spacing w:after="0"/>
              <w:rPr>
                <w:sz w:val="6"/>
                <w:szCs w:val="6"/>
                <w:color w:val="auto"/>
              </w:rPr>
            </w:pPr>
          </w:p>
        </w:tc>
        <w:tc>
          <w:tcPr>
            <w:tcW w:w="380" w:type="dxa"/>
            <w:vAlign w:val="bottom"/>
            <w:tcBorders>
              <w:bottom w:val="single" w:sz="8" w:color="007AA7"/>
            </w:tcBorders>
            <w:shd w:val="clear" w:color="auto" w:fill="E3EAE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3E474E"/>
              </w:rPr>
              <w:t>2025</w:t>
            </w:r>
          </w:p>
        </w:tc>
        <w:tc>
          <w:tcPr>
            <w:tcW w:w="1280" w:type="dxa"/>
            <w:vAlign w:val="bottom"/>
          </w:tcPr>
          <w:p>
            <w:pPr>
              <w:jc w:val="right"/>
              <w:ind w:right="8"/>
              <w:spacing w:after="0"/>
              <w:rPr>
                <w:sz w:val="20"/>
                <w:szCs w:val="20"/>
                <w:color w:val="auto"/>
              </w:rPr>
            </w:pPr>
            <w:r>
              <w:rPr>
                <w:rFonts w:ascii="Arial" w:cs="Arial" w:eastAsia="Arial" w:hAnsi="Arial"/>
                <w:sz w:val="14"/>
                <w:szCs w:val="14"/>
                <w:color w:val="3E474E"/>
              </w:rPr>
              <w:t>6,091,906</w:t>
            </w: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3E474E"/>
              </w:rPr>
              <w:t>(4,411,428)</w:t>
            </w:r>
          </w:p>
        </w:tc>
        <w:tc>
          <w:tcPr>
            <w:tcW w:w="1420" w:type="dxa"/>
            <w:vAlign w:val="bottom"/>
            <w:gridSpan w:val="3"/>
          </w:tcPr>
          <w:p>
            <w:pPr>
              <w:jc w:val="right"/>
              <w:ind w:right="28"/>
              <w:spacing w:after="0"/>
              <w:rPr>
                <w:sz w:val="20"/>
                <w:szCs w:val="20"/>
                <w:color w:val="auto"/>
              </w:rPr>
            </w:pPr>
            <w:r>
              <w:rPr>
                <w:rFonts w:ascii="Arial" w:cs="Arial" w:eastAsia="Arial" w:hAnsi="Arial"/>
                <w:sz w:val="14"/>
                <w:szCs w:val="14"/>
                <w:color w:val="3E474E"/>
              </w:rPr>
              <w:t>3,041,343</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3E474E"/>
              </w:rPr>
              <w:t>364,901</w:t>
            </w:r>
          </w:p>
        </w:tc>
        <w:tc>
          <w:tcPr>
            <w:tcW w:w="1560" w:type="dxa"/>
            <w:vAlign w:val="bottom"/>
            <w:gridSpan w:val="3"/>
          </w:tcPr>
          <w:p>
            <w:pPr>
              <w:jc w:val="right"/>
              <w:ind w:right="60"/>
              <w:spacing w:after="0"/>
              <w:rPr>
                <w:sz w:val="20"/>
                <w:szCs w:val="20"/>
                <w:color w:val="auto"/>
              </w:rPr>
            </w:pPr>
            <w:r>
              <w:rPr>
                <w:rFonts w:ascii="Arial" w:cs="Arial" w:eastAsia="Arial" w:hAnsi="Arial"/>
                <w:sz w:val="14"/>
                <w:szCs w:val="14"/>
                <w:color w:val="3E474E"/>
              </w:rPr>
              <w:t>(34,678)</w:t>
            </w:r>
          </w:p>
        </w:tc>
        <w:tc>
          <w:tcPr>
            <w:tcW w:w="1400" w:type="dxa"/>
            <w:vAlign w:val="bottom"/>
            <w:gridSpan w:val="2"/>
          </w:tcPr>
          <w:p>
            <w:pPr>
              <w:jc w:val="right"/>
              <w:spacing w:after="0"/>
              <w:rPr>
                <w:sz w:val="20"/>
                <w:szCs w:val="20"/>
                <w:color w:val="auto"/>
              </w:rPr>
            </w:pPr>
            <w:r>
              <w:rPr>
                <w:rFonts w:ascii="Arial" w:cs="Arial" w:eastAsia="Arial" w:hAnsi="Arial"/>
                <w:sz w:val="14"/>
                <w:szCs w:val="14"/>
                <w:color w:val="3E474E"/>
              </w:rPr>
              <w:t>(122,554)</w:t>
            </w:r>
          </w:p>
        </w:tc>
        <w:tc>
          <w:tcPr>
            <w:tcW w:w="42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3E474E"/>
              </w:rPr>
              <w:t>—</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3E474E"/>
              </w:rPr>
              <w:t>4,929,490</w:t>
            </w:r>
          </w:p>
        </w:tc>
        <w:tc>
          <w:tcPr>
            <w:tcW w:w="0" w:type="dxa"/>
            <w:vAlign w:val="bottom"/>
          </w:tcPr>
          <w:p>
            <w:pPr>
              <w:spacing w:after="0"/>
              <w:rPr>
                <w:sz w:val="1"/>
                <w:szCs w:val="1"/>
                <w:color w:val="auto"/>
              </w:rPr>
            </w:pPr>
          </w:p>
        </w:tc>
      </w:tr>
      <w:tr>
        <w:trPr>
          <w:trHeight w:val="48"/>
        </w:trPr>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20" w:type="dxa"/>
            <w:vAlign w:val="bottom"/>
            <w:tcBorders>
              <w:bottom w:val="single" w:sz="8" w:color="E3EAEE"/>
            </w:tcBorders>
            <w:shd w:val="clear" w:color="auto" w:fill="E3EAEE"/>
          </w:tcPr>
          <w:p>
            <w:pPr>
              <w:jc w:val="right"/>
              <w:ind w:right="88"/>
              <w:spacing w:after="0"/>
              <w:rPr>
                <w:sz w:val="20"/>
                <w:szCs w:val="20"/>
                <w:color w:val="auto"/>
              </w:rPr>
            </w:pPr>
            <w:r>
              <w:rPr>
                <w:rFonts w:ascii="Arial" w:cs="Arial" w:eastAsia="Arial" w:hAnsi="Arial"/>
                <w:sz w:val="14"/>
                <w:szCs w:val="14"/>
                <w:b w:val="1"/>
                <w:bCs w:val="1"/>
                <w:color w:val="3E474E"/>
              </w:rPr>
              <w:t>2024</w:t>
            </w:r>
          </w:p>
        </w:tc>
        <w:tc>
          <w:tcPr>
            <w:tcW w:w="1280" w:type="dxa"/>
            <w:vAlign w:val="bottom"/>
            <w:tcBorders>
              <w:bottom w:val="single" w:sz="8" w:color="E3EAEE"/>
            </w:tcBorders>
            <w:shd w:val="clear" w:color="auto" w:fill="E3EAEE"/>
          </w:tcPr>
          <w:p>
            <w:pPr>
              <w:jc w:val="right"/>
              <w:ind w:right="8"/>
              <w:spacing w:after="0"/>
              <w:rPr>
                <w:sz w:val="20"/>
                <w:szCs w:val="20"/>
                <w:color w:val="auto"/>
              </w:rPr>
            </w:pPr>
            <w:r>
              <w:rPr>
                <w:rFonts w:ascii="Arial" w:cs="Arial" w:eastAsia="Arial" w:hAnsi="Arial"/>
                <w:sz w:val="14"/>
                <w:szCs w:val="14"/>
                <w:color w:val="3E474E"/>
              </w:rPr>
              <w:t>2,805,718</w:t>
            </w:r>
          </w:p>
        </w:tc>
        <w:tc>
          <w:tcPr>
            <w:tcW w:w="1040" w:type="dxa"/>
            <w:vAlign w:val="bottom"/>
            <w:tcBorders>
              <w:bottom w:val="single" w:sz="8" w:color="E3EAEE"/>
            </w:tcBorders>
            <w:gridSpan w:val="3"/>
            <w:shd w:val="clear" w:color="auto" w:fill="E3EAEE"/>
          </w:tcPr>
          <w:p>
            <w:pPr>
              <w:jc w:val="right"/>
              <w:ind w:right="40"/>
              <w:spacing w:after="0"/>
              <w:rPr>
                <w:sz w:val="20"/>
                <w:szCs w:val="20"/>
                <w:color w:val="auto"/>
              </w:rPr>
            </w:pPr>
            <w:r>
              <w:rPr>
                <w:rFonts w:ascii="Arial" w:cs="Arial" w:eastAsia="Arial" w:hAnsi="Arial"/>
                <w:sz w:val="14"/>
                <w:szCs w:val="14"/>
                <w:color w:val="3E474E"/>
              </w:rPr>
              <w:t>(1,067,043)</w:t>
            </w:r>
          </w:p>
        </w:tc>
        <w:tc>
          <w:tcPr>
            <w:tcW w:w="100" w:type="dxa"/>
            <w:vAlign w:val="bottom"/>
            <w:tcBorders>
              <w:bottom w:val="single" w:sz="8" w:color="E3EAEE"/>
            </w:tcBorders>
            <w:shd w:val="clear" w:color="auto" w:fill="E3EAEE"/>
          </w:tcPr>
          <w:p>
            <w:pPr>
              <w:spacing w:after="0"/>
              <w:rPr>
                <w:sz w:val="22"/>
                <w:szCs w:val="22"/>
                <w:color w:val="auto"/>
              </w:rPr>
            </w:pPr>
          </w:p>
        </w:tc>
        <w:tc>
          <w:tcPr>
            <w:tcW w:w="320" w:type="dxa"/>
            <w:vAlign w:val="bottom"/>
            <w:tcBorders>
              <w:bottom w:val="single" w:sz="8" w:color="E3EAEE"/>
            </w:tcBorders>
            <w:shd w:val="clear" w:color="auto" w:fill="E3EAEE"/>
          </w:tcPr>
          <w:p>
            <w:pPr>
              <w:spacing w:after="0"/>
              <w:rPr>
                <w:sz w:val="22"/>
                <w:szCs w:val="22"/>
                <w:color w:val="auto"/>
              </w:rPr>
            </w:pPr>
          </w:p>
        </w:tc>
        <w:tc>
          <w:tcPr>
            <w:tcW w:w="1000" w:type="dxa"/>
            <w:vAlign w:val="bottom"/>
            <w:tcBorders>
              <w:bottom w:val="single" w:sz="8" w:color="E3EAEE"/>
            </w:tcBorders>
            <w:shd w:val="clear" w:color="auto" w:fill="E3EAEE"/>
          </w:tcPr>
          <w:p>
            <w:pPr>
              <w:jc w:val="right"/>
              <w:ind w:right="28"/>
              <w:spacing w:after="0"/>
              <w:rPr>
                <w:sz w:val="20"/>
                <w:szCs w:val="20"/>
                <w:color w:val="auto"/>
              </w:rPr>
            </w:pPr>
            <w:r>
              <w:rPr>
                <w:rFonts w:ascii="Arial" w:cs="Arial" w:eastAsia="Arial" w:hAnsi="Arial"/>
                <w:sz w:val="14"/>
                <w:szCs w:val="14"/>
                <w:color w:val="3E474E"/>
              </w:rPr>
              <w:t>—</w:t>
            </w:r>
          </w:p>
        </w:tc>
        <w:tc>
          <w:tcPr>
            <w:tcW w:w="1100" w:type="dxa"/>
            <w:vAlign w:val="bottom"/>
            <w:tcBorders>
              <w:bottom w:val="single" w:sz="8" w:color="E3EAEE"/>
            </w:tcBorders>
            <w:gridSpan w:val="3"/>
            <w:shd w:val="clear" w:color="auto" w:fill="E3EAEE"/>
          </w:tcPr>
          <w:p>
            <w:pPr>
              <w:jc w:val="right"/>
              <w:ind w:right="60"/>
              <w:spacing w:after="0"/>
              <w:rPr>
                <w:sz w:val="20"/>
                <w:szCs w:val="20"/>
                <w:color w:val="auto"/>
              </w:rPr>
            </w:pPr>
            <w:r>
              <w:rPr>
                <w:rFonts w:ascii="Arial" w:cs="Arial" w:eastAsia="Arial" w:hAnsi="Arial"/>
                <w:sz w:val="14"/>
                <w:szCs w:val="14"/>
                <w:color w:val="3E474E"/>
              </w:rPr>
              <w:t>1,043,533</w:t>
            </w:r>
          </w:p>
        </w:tc>
        <w:tc>
          <w:tcPr>
            <w:tcW w:w="1560" w:type="dxa"/>
            <w:vAlign w:val="bottom"/>
            <w:tcBorders>
              <w:bottom w:val="single" w:sz="8" w:color="E3EAEE"/>
              <w:right w:val="single" w:sz="8" w:color="E3EAEE"/>
            </w:tcBorders>
            <w:gridSpan w:val="3"/>
            <w:shd w:val="clear" w:color="auto" w:fill="E3EAEE"/>
          </w:tcPr>
          <w:p>
            <w:pPr>
              <w:jc w:val="right"/>
              <w:ind w:right="60"/>
              <w:spacing w:after="0"/>
              <w:rPr>
                <w:sz w:val="20"/>
                <w:szCs w:val="20"/>
                <w:color w:val="auto"/>
              </w:rPr>
            </w:pPr>
            <w:r>
              <w:rPr>
                <w:rFonts w:ascii="Arial" w:cs="Arial" w:eastAsia="Arial" w:hAnsi="Arial"/>
                <w:sz w:val="14"/>
                <w:szCs w:val="14"/>
                <w:color w:val="3E474E"/>
              </w:rPr>
              <w:t>(163,355)</w:t>
            </w:r>
          </w:p>
        </w:tc>
        <w:tc>
          <w:tcPr>
            <w:tcW w:w="320" w:type="dxa"/>
            <w:vAlign w:val="bottom"/>
            <w:tcBorders>
              <w:bottom w:val="single" w:sz="8" w:color="E3EAEE"/>
            </w:tcBorders>
            <w:shd w:val="clear" w:color="auto" w:fill="E3EAEE"/>
          </w:tcPr>
          <w:p>
            <w:pPr>
              <w:spacing w:after="0"/>
              <w:rPr>
                <w:sz w:val="22"/>
                <w:szCs w:val="22"/>
                <w:color w:val="auto"/>
              </w:rPr>
            </w:pPr>
          </w:p>
        </w:tc>
        <w:tc>
          <w:tcPr>
            <w:tcW w:w="1080" w:type="dxa"/>
            <w:vAlign w:val="bottom"/>
            <w:tcBorders>
              <w:bottom w:val="single" w:sz="8" w:color="E3EAEE"/>
            </w:tcBorders>
            <w:shd w:val="clear" w:color="auto" w:fill="E3EAEE"/>
          </w:tcPr>
          <w:p>
            <w:pPr>
              <w:jc w:val="right"/>
              <w:ind w:right="8"/>
              <w:spacing w:after="0"/>
              <w:rPr>
                <w:sz w:val="20"/>
                <w:szCs w:val="20"/>
                <w:color w:val="auto"/>
              </w:rPr>
            </w:pPr>
            <w:r>
              <w:rPr>
                <w:rFonts w:ascii="Arial" w:cs="Arial" w:eastAsia="Arial" w:hAnsi="Arial"/>
                <w:sz w:val="14"/>
                <w:szCs w:val="14"/>
                <w:color w:val="3E474E"/>
              </w:rPr>
              <w:t>—</w:t>
            </w:r>
          </w:p>
        </w:tc>
        <w:tc>
          <w:tcPr>
            <w:tcW w:w="420" w:type="dxa"/>
            <w:vAlign w:val="bottom"/>
            <w:tcBorders>
              <w:bottom w:val="single" w:sz="8" w:color="E3EAEE"/>
            </w:tcBorders>
            <w:shd w:val="clear" w:color="auto" w:fill="E3EAEE"/>
          </w:tcPr>
          <w:p>
            <w:pPr>
              <w:spacing w:after="0"/>
              <w:rPr>
                <w:sz w:val="22"/>
                <w:szCs w:val="22"/>
                <w:color w:val="auto"/>
              </w:rPr>
            </w:pPr>
          </w:p>
        </w:tc>
        <w:tc>
          <w:tcPr>
            <w:tcW w:w="900" w:type="dxa"/>
            <w:vAlign w:val="bottom"/>
            <w:tcBorders>
              <w:bottom w:val="single" w:sz="8" w:color="E3EAEE"/>
            </w:tcBorders>
            <w:shd w:val="clear" w:color="auto" w:fill="E3EAEE"/>
          </w:tcPr>
          <w:p>
            <w:pPr>
              <w:ind w:left="640"/>
              <w:spacing w:after="0"/>
              <w:rPr>
                <w:sz w:val="20"/>
                <w:szCs w:val="20"/>
                <w:color w:val="auto"/>
              </w:rPr>
            </w:pPr>
            <w:r>
              <w:rPr>
                <w:rFonts w:ascii="Arial" w:cs="Arial" w:eastAsia="Arial" w:hAnsi="Arial"/>
                <w:sz w:val="14"/>
                <w:szCs w:val="14"/>
                <w:color w:val="3E474E"/>
              </w:rPr>
              <w:t>—</w:t>
            </w:r>
          </w:p>
        </w:tc>
        <w:tc>
          <w:tcPr>
            <w:tcW w:w="1240" w:type="dxa"/>
            <w:vAlign w:val="bottom"/>
            <w:tcBorders>
              <w:bottom w:val="single" w:sz="8" w:color="E3EAEE"/>
            </w:tcBorders>
            <w:gridSpan w:val="3"/>
            <w:shd w:val="clear" w:color="auto" w:fill="E3EAEE"/>
          </w:tcPr>
          <w:p>
            <w:pPr>
              <w:jc w:val="right"/>
              <w:ind w:right="60"/>
              <w:spacing w:after="0"/>
              <w:rPr>
                <w:sz w:val="20"/>
                <w:szCs w:val="20"/>
                <w:color w:val="auto"/>
              </w:rPr>
            </w:pPr>
            <w:r>
              <w:rPr>
                <w:rFonts w:ascii="Arial" w:cs="Arial" w:eastAsia="Arial" w:hAnsi="Arial"/>
                <w:sz w:val="14"/>
                <w:szCs w:val="14"/>
                <w:color w:val="3E474E"/>
              </w:rPr>
              <w:t>2,618,853</w:t>
            </w:r>
          </w:p>
        </w:tc>
        <w:tc>
          <w:tcPr>
            <w:tcW w:w="0" w:type="dxa"/>
            <w:vAlign w:val="bottom"/>
          </w:tcPr>
          <w:p>
            <w:pPr>
              <w:spacing w:after="0"/>
              <w:rPr>
                <w:sz w:val="1"/>
                <w:szCs w:val="1"/>
                <w:color w:val="auto"/>
              </w:rPr>
            </w:pPr>
          </w:p>
        </w:tc>
      </w:tr>
      <w:tr>
        <w:trPr>
          <w:trHeight w:val="235"/>
        </w:trPr>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3E474E"/>
              </w:rPr>
              <w:t>2023</w:t>
            </w:r>
          </w:p>
        </w:tc>
        <w:tc>
          <w:tcPr>
            <w:tcW w:w="1280" w:type="dxa"/>
            <w:vAlign w:val="bottom"/>
          </w:tcPr>
          <w:p>
            <w:pPr>
              <w:jc w:val="right"/>
              <w:ind w:right="8"/>
              <w:spacing w:after="0"/>
              <w:rPr>
                <w:sz w:val="20"/>
                <w:szCs w:val="20"/>
                <w:color w:val="auto"/>
              </w:rPr>
            </w:pPr>
            <w:r>
              <w:rPr>
                <w:rFonts w:ascii="Arial" w:cs="Arial" w:eastAsia="Arial" w:hAnsi="Arial"/>
                <w:sz w:val="14"/>
                <w:szCs w:val="14"/>
                <w:color w:val="3E474E"/>
              </w:rPr>
              <w:t>2,541,650</w:t>
            </w: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3E474E"/>
              </w:rPr>
              <w:t>(966,750)</w:t>
            </w:r>
          </w:p>
        </w:tc>
        <w:tc>
          <w:tcPr>
            <w:tcW w:w="1420" w:type="dxa"/>
            <w:vAlign w:val="bottom"/>
            <w:gridSpan w:val="3"/>
          </w:tcPr>
          <w:p>
            <w:pPr>
              <w:jc w:val="right"/>
              <w:ind w:right="28"/>
              <w:spacing w:after="0"/>
              <w:rPr>
                <w:sz w:val="20"/>
                <w:szCs w:val="20"/>
                <w:color w:val="auto"/>
              </w:rPr>
            </w:pPr>
            <w:r>
              <w:rPr>
                <w:rFonts w:ascii="Arial" w:cs="Arial" w:eastAsia="Arial" w:hAnsi="Arial"/>
                <w:sz w:val="14"/>
                <w:szCs w:val="14"/>
                <w:color w:val="3E474E"/>
              </w:rPr>
              <w:t>972,134</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3E474E"/>
              </w:rPr>
              <w:t>386,700</w:t>
            </w:r>
          </w:p>
        </w:tc>
        <w:tc>
          <w:tcPr>
            <w:tcW w:w="1560" w:type="dxa"/>
            <w:vAlign w:val="bottom"/>
            <w:gridSpan w:val="3"/>
          </w:tcPr>
          <w:p>
            <w:pPr>
              <w:jc w:val="right"/>
              <w:ind w:right="100"/>
              <w:spacing w:after="0"/>
              <w:rPr>
                <w:sz w:val="20"/>
                <w:szCs w:val="20"/>
                <w:color w:val="auto"/>
              </w:rPr>
            </w:pPr>
            <w:r>
              <w:rPr>
                <w:rFonts w:ascii="Arial" w:cs="Arial" w:eastAsia="Arial" w:hAnsi="Arial"/>
                <w:sz w:val="14"/>
                <w:szCs w:val="14"/>
                <w:color w:val="3E474E"/>
              </w:rPr>
              <w:t>28,727</w:t>
            </w:r>
          </w:p>
        </w:tc>
        <w:tc>
          <w:tcPr>
            <w:tcW w:w="320" w:type="dxa"/>
            <w:vAlign w:val="bottom"/>
          </w:tcPr>
          <w:p>
            <w:pPr>
              <w:spacing w:after="0"/>
              <w:rPr>
                <w:sz w:val="20"/>
                <w:szCs w:val="20"/>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3E474E"/>
              </w:rPr>
              <w:t>—</w:t>
            </w:r>
          </w:p>
        </w:tc>
        <w:tc>
          <w:tcPr>
            <w:tcW w:w="1320" w:type="dxa"/>
            <w:vAlign w:val="bottom"/>
            <w:gridSpan w:val="2"/>
          </w:tcPr>
          <w:p>
            <w:pPr>
              <w:jc w:val="right"/>
              <w:ind w:right="8"/>
              <w:spacing w:after="0"/>
              <w:rPr>
                <w:sz w:val="20"/>
                <w:szCs w:val="20"/>
                <w:color w:val="auto"/>
              </w:rPr>
            </w:pPr>
            <w:r>
              <w:rPr>
                <w:rFonts w:ascii="Arial" w:cs="Arial" w:eastAsia="Arial" w:hAnsi="Arial"/>
                <w:sz w:val="14"/>
                <w:szCs w:val="14"/>
                <w:color w:val="3E474E"/>
              </w:rPr>
              <w:t>(386,262)</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3E474E"/>
              </w:rPr>
              <w:t>2,576,199</w:t>
            </w:r>
          </w:p>
        </w:tc>
        <w:tc>
          <w:tcPr>
            <w:tcW w:w="0" w:type="dxa"/>
            <w:vAlign w:val="bottom"/>
          </w:tcPr>
          <w:p>
            <w:pPr>
              <w:spacing w:after="0"/>
              <w:rPr>
                <w:sz w:val="1"/>
                <w:szCs w:val="1"/>
                <w:color w:val="auto"/>
              </w:rPr>
            </w:pPr>
          </w:p>
        </w:tc>
      </w:tr>
      <w:tr>
        <w:trPr>
          <w:trHeight w:val="49"/>
        </w:trPr>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20" w:type="dxa"/>
            <w:vAlign w:val="bottom"/>
            <w:tcBorders>
              <w:bottom w:val="single" w:sz="8" w:color="E3EAEE"/>
            </w:tcBorders>
            <w:shd w:val="clear" w:color="auto" w:fill="E3EAEE"/>
          </w:tcPr>
          <w:p>
            <w:pPr>
              <w:jc w:val="right"/>
              <w:ind w:right="88"/>
              <w:spacing w:after="0"/>
              <w:rPr>
                <w:sz w:val="20"/>
                <w:szCs w:val="20"/>
                <w:color w:val="auto"/>
              </w:rPr>
            </w:pPr>
            <w:r>
              <w:rPr>
                <w:rFonts w:ascii="Arial" w:cs="Arial" w:eastAsia="Arial" w:hAnsi="Arial"/>
                <w:sz w:val="14"/>
                <w:szCs w:val="14"/>
                <w:b w:val="1"/>
                <w:bCs w:val="1"/>
                <w:color w:val="3E474E"/>
              </w:rPr>
              <w:t>2022</w:t>
            </w:r>
          </w:p>
        </w:tc>
        <w:tc>
          <w:tcPr>
            <w:tcW w:w="1280" w:type="dxa"/>
            <w:vAlign w:val="bottom"/>
            <w:tcBorders>
              <w:bottom w:val="single" w:sz="8" w:color="E3EAEE"/>
            </w:tcBorders>
            <w:shd w:val="clear" w:color="auto" w:fill="E3EAEE"/>
          </w:tcPr>
          <w:p>
            <w:pPr>
              <w:jc w:val="right"/>
              <w:ind w:right="8"/>
              <w:spacing w:after="0"/>
              <w:rPr>
                <w:sz w:val="20"/>
                <w:szCs w:val="20"/>
                <w:color w:val="auto"/>
              </w:rPr>
            </w:pPr>
            <w:r>
              <w:rPr>
                <w:rFonts w:ascii="Arial" w:cs="Arial" w:eastAsia="Arial" w:hAnsi="Arial"/>
                <w:sz w:val="14"/>
                <w:szCs w:val="14"/>
                <w:color w:val="3E474E"/>
              </w:rPr>
              <w:t>2,679,430</w:t>
            </w:r>
          </w:p>
        </w:tc>
        <w:tc>
          <w:tcPr>
            <w:tcW w:w="1040" w:type="dxa"/>
            <w:vAlign w:val="bottom"/>
            <w:tcBorders>
              <w:bottom w:val="single" w:sz="8" w:color="E3EAEE"/>
            </w:tcBorders>
            <w:gridSpan w:val="3"/>
            <w:shd w:val="clear" w:color="auto" w:fill="E3EAEE"/>
          </w:tcPr>
          <w:p>
            <w:pPr>
              <w:jc w:val="right"/>
              <w:ind w:right="40"/>
              <w:spacing w:after="0"/>
              <w:rPr>
                <w:sz w:val="20"/>
                <w:szCs w:val="20"/>
                <w:color w:val="auto"/>
              </w:rPr>
            </w:pPr>
            <w:r>
              <w:rPr>
                <w:rFonts w:ascii="Arial" w:cs="Arial" w:eastAsia="Arial" w:hAnsi="Arial"/>
                <w:sz w:val="14"/>
                <w:szCs w:val="14"/>
                <w:color w:val="3E474E"/>
              </w:rPr>
              <w:t>(981,770)</w:t>
            </w:r>
          </w:p>
        </w:tc>
        <w:tc>
          <w:tcPr>
            <w:tcW w:w="1420" w:type="dxa"/>
            <w:vAlign w:val="bottom"/>
            <w:tcBorders>
              <w:bottom w:val="single" w:sz="8" w:color="E3EAEE"/>
            </w:tcBorders>
            <w:gridSpan w:val="3"/>
            <w:shd w:val="clear" w:color="auto" w:fill="E3EAEE"/>
          </w:tcPr>
          <w:p>
            <w:pPr>
              <w:jc w:val="right"/>
              <w:ind w:right="28"/>
              <w:spacing w:after="0"/>
              <w:rPr>
                <w:sz w:val="20"/>
                <w:szCs w:val="20"/>
                <w:color w:val="auto"/>
              </w:rPr>
            </w:pPr>
            <w:r>
              <w:rPr>
                <w:rFonts w:ascii="Arial" w:cs="Arial" w:eastAsia="Arial" w:hAnsi="Arial"/>
                <w:sz w:val="14"/>
                <w:szCs w:val="14"/>
                <w:color w:val="3E474E"/>
              </w:rPr>
              <w:t>455,860</w:t>
            </w:r>
          </w:p>
        </w:tc>
        <w:tc>
          <w:tcPr>
            <w:tcW w:w="1100" w:type="dxa"/>
            <w:vAlign w:val="bottom"/>
            <w:tcBorders>
              <w:bottom w:val="single" w:sz="8" w:color="E3EAEE"/>
            </w:tcBorders>
            <w:gridSpan w:val="3"/>
            <w:shd w:val="clear" w:color="auto" w:fill="E3EAEE"/>
          </w:tcPr>
          <w:p>
            <w:pPr>
              <w:jc w:val="right"/>
              <w:ind w:right="60"/>
              <w:spacing w:after="0"/>
              <w:rPr>
                <w:sz w:val="20"/>
                <w:szCs w:val="20"/>
                <w:color w:val="auto"/>
              </w:rPr>
            </w:pPr>
            <w:r>
              <w:rPr>
                <w:rFonts w:ascii="Arial" w:cs="Arial" w:eastAsia="Arial" w:hAnsi="Arial"/>
                <w:sz w:val="14"/>
                <w:szCs w:val="14"/>
                <w:color w:val="3E474E"/>
              </w:rPr>
              <w:t>392,720</w:t>
            </w:r>
          </w:p>
        </w:tc>
        <w:tc>
          <w:tcPr>
            <w:tcW w:w="1560" w:type="dxa"/>
            <w:vAlign w:val="bottom"/>
            <w:tcBorders>
              <w:bottom w:val="single" w:sz="8" w:color="E3EAEE"/>
              <w:right w:val="single" w:sz="8" w:color="E3EAEE"/>
            </w:tcBorders>
            <w:gridSpan w:val="3"/>
            <w:shd w:val="clear" w:color="auto" w:fill="E3EAEE"/>
          </w:tcPr>
          <w:p>
            <w:pPr>
              <w:jc w:val="right"/>
              <w:ind w:right="60"/>
              <w:spacing w:after="0"/>
              <w:rPr>
                <w:sz w:val="20"/>
                <w:szCs w:val="20"/>
                <w:color w:val="auto"/>
              </w:rPr>
            </w:pPr>
            <w:r>
              <w:rPr>
                <w:rFonts w:ascii="Arial" w:cs="Arial" w:eastAsia="Arial" w:hAnsi="Arial"/>
                <w:sz w:val="14"/>
                <w:szCs w:val="14"/>
                <w:color w:val="3E474E"/>
              </w:rPr>
              <w:t>(7,575)</w:t>
            </w:r>
          </w:p>
        </w:tc>
        <w:tc>
          <w:tcPr>
            <w:tcW w:w="1400" w:type="dxa"/>
            <w:vAlign w:val="bottom"/>
            <w:tcBorders>
              <w:bottom w:val="single" w:sz="8" w:color="E3EAEE"/>
            </w:tcBorders>
            <w:gridSpan w:val="2"/>
            <w:shd w:val="clear" w:color="auto" w:fill="E3EAEE"/>
          </w:tcPr>
          <w:p>
            <w:pPr>
              <w:jc w:val="right"/>
              <w:spacing w:after="0"/>
              <w:rPr>
                <w:sz w:val="20"/>
                <w:szCs w:val="20"/>
                <w:color w:val="auto"/>
              </w:rPr>
            </w:pPr>
            <w:r>
              <w:rPr>
                <w:rFonts w:ascii="Arial" w:cs="Arial" w:eastAsia="Arial" w:hAnsi="Arial"/>
                <w:sz w:val="14"/>
                <w:szCs w:val="14"/>
                <w:color w:val="3E474E"/>
              </w:rPr>
              <w:t>(53,278)</w:t>
            </w:r>
          </w:p>
        </w:tc>
        <w:tc>
          <w:tcPr>
            <w:tcW w:w="420" w:type="dxa"/>
            <w:vAlign w:val="bottom"/>
            <w:tcBorders>
              <w:bottom w:val="single" w:sz="8" w:color="E3EAEE"/>
            </w:tcBorders>
            <w:shd w:val="clear" w:color="auto" w:fill="E3EAEE"/>
          </w:tcPr>
          <w:p>
            <w:pPr>
              <w:spacing w:after="0"/>
              <w:rPr>
                <w:sz w:val="22"/>
                <w:szCs w:val="22"/>
                <w:color w:val="auto"/>
              </w:rPr>
            </w:pPr>
          </w:p>
        </w:tc>
        <w:tc>
          <w:tcPr>
            <w:tcW w:w="900" w:type="dxa"/>
            <w:vAlign w:val="bottom"/>
            <w:tcBorders>
              <w:bottom w:val="single" w:sz="8" w:color="E3EAEE"/>
            </w:tcBorders>
            <w:shd w:val="clear" w:color="auto" w:fill="E3EAEE"/>
          </w:tcPr>
          <w:p>
            <w:pPr>
              <w:ind w:left="640"/>
              <w:spacing w:after="0"/>
              <w:rPr>
                <w:sz w:val="20"/>
                <w:szCs w:val="20"/>
                <w:color w:val="auto"/>
              </w:rPr>
            </w:pPr>
            <w:r>
              <w:rPr>
                <w:rFonts w:ascii="Arial" w:cs="Arial" w:eastAsia="Arial" w:hAnsi="Arial"/>
                <w:sz w:val="14"/>
                <w:szCs w:val="14"/>
                <w:color w:val="3E474E"/>
              </w:rPr>
              <w:t>—</w:t>
            </w:r>
          </w:p>
        </w:tc>
        <w:tc>
          <w:tcPr>
            <w:tcW w:w="1240" w:type="dxa"/>
            <w:vAlign w:val="bottom"/>
            <w:tcBorders>
              <w:bottom w:val="single" w:sz="8" w:color="E3EAEE"/>
            </w:tcBorders>
            <w:gridSpan w:val="3"/>
            <w:shd w:val="clear" w:color="auto" w:fill="E3EAEE"/>
          </w:tcPr>
          <w:p>
            <w:pPr>
              <w:jc w:val="right"/>
              <w:ind w:right="60"/>
              <w:spacing w:after="0"/>
              <w:rPr>
                <w:sz w:val="20"/>
                <w:szCs w:val="20"/>
                <w:color w:val="auto"/>
              </w:rPr>
            </w:pPr>
            <w:r>
              <w:rPr>
                <w:rFonts w:ascii="Arial" w:cs="Arial" w:eastAsia="Arial" w:hAnsi="Arial"/>
                <w:sz w:val="14"/>
                <w:szCs w:val="14"/>
                <w:color w:val="3E474E"/>
              </w:rPr>
              <w:t>2,485,387</w:t>
            </w:r>
          </w:p>
        </w:tc>
        <w:tc>
          <w:tcPr>
            <w:tcW w:w="0" w:type="dxa"/>
            <w:vAlign w:val="bottom"/>
          </w:tcPr>
          <w:p>
            <w:pPr>
              <w:spacing w:after="0"/>
              <w:rPr>
                <w:sz w:val="1"/>
                <w:szCs w:val="1"/>
                <w:color w:val="auto"/>
              </w:rPr>
            </w:pPr>
          </w:p>
        </w:tc>
      </w:tr>
      <w:tr>
        <w:trPr>
          <w:trHeight w:val="235"/>
        </w:trPr>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3E474E"/>
              </w:rPr>
              <w:t>2021</w:t>
            </w:r>
          </w:p>
        </w:tc>
        <w:tc>
          <w:tcPr>
            <w:tcW w:w="1280" w:type="dxa"/>
            <w:vAlign w:val="bottom"/>
          </w:tcPr>
          <w:p>
            <w:pPr>
              <w:jc w:val="right"/>
              <w:ind w:right="8"/>
              <w:spacing w:after="0"/>
              <w:rPr>
                <w:sz w:val="20"/>
                <w:szCs w:val="20"/>
                <w:color w:val="auto"/>
              </w:rPr>
            </w:pPr>
            <w:r>
              <w:rPr>
                <w:rFonts w:ascii="Arial" w:cs="Arial" w:eastAsia="Arial" w:hAnsi="Arial"/>
                <w:sz w:val="14"/>
                <w:szCs w:val="14"/>
                <w:color w:val="3E474E"/>
              </w:rPr>
              <w:t>2,102,957</w:t>
            </w: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3E474E"/>
              </w:rPr>
              <w:t>(452,588)</w:t>
            </w:r>
          </w:p>
        </w:tc>
        <w:tc>
          <w:tcPr>
            <w:tcW w:w="1420" w:type="dxa"/>
            <w:vAlign w:val="bottom"/>
            <w:gridSpan w:val="3"/>
          </w:tcPr>
          <w:p>
            <w:pPr>
              <w:jc w:val="right"/>
              <w:ind w:right="28"/>
              <w:spacing w:after="0"/>
              <w:rPr>
                <w:sz w:val="20"/>
                <w:szCs w:val="20"/>
                <w:color w:val="auto"/>
              </w:rPr>
            </w:pPr>
            <w:r>
              <w:rPr>
                <w:rFonts w:ascii="Arial" w:cs="Arial" w:eastAsia="Arial" w:hAnsi="Arial"/>
                <w:sz w:val="14"/>
                <w:szCs w:val="14"/>
                <w:color w:val="3E474E"/>
              </w:rPr>
              <w:t>326,971</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3E474E"/>
              </w:rPr>
              <w:t>181,043</w:t>
            </w:r>
          </w:p>
        </w:tc>
        <w:tc>
          <w:tcPr>
            <w:tcW w:w="1560" w:type="dxa"/>
            <w:vAlign w:val="bottom"/>
            <w:gridSpan w:val="3"/>
          </w:tcPr>
          <w:p>
            <w:pPr>
              <w:jc w:val="right"/>
              <w:ind w:right="100"/>
              <w:spacing w:after="0"/>
              <w:rPr>
                <w:sz w:val="20"/>
                <w:szCs w:val="20"/>
                <w:color w:val="auto"/>
              </w:rPr>
            </w:pPr>
            <w:r>
              <w:rPr>
                <w:rFonts w:ascii="Arial" w:cs="Arial" w:eastAsia="Arial" w:hAnsi="Arial"/>
                <w:sz w:val="14"/>
                <w:szCs w:val="14"/>
                <w:color w:val="3E474E"/>
              </w:rPr>
              <w:t>50,493</w:t>
            </w:r>
          </w:p>
        </w:tc>
        <w:tc>
          <w:tcPr>
            <w:tcW w:w="1400" w:type="dxa"/>
            <w:vAlign w:val="bottom"/>
            <w:gridSpan w:val="2"/>
          </w:tcPr>
          <w:p>
            <w:pPr>
              <w:jc w:val="right"/>
              <w:ind w:right="8"/>
              <w:spacing w:after="0"/>
              <w:rPr>
                <w:sz w:val="20"/>
                <w:szCs w:val="20"/>
                <w:color w:val="auto"/>
              </w:rPr>
            </w:pPr>
            <w:r>
              <w:rPr>
                <w:rFonts w:ascii="Arial" w:cs="Arial" w:eastAsia="Arial" w:hAnsi="Arial"/>
                <w:sz w:val="14"/>
                <w:szCs w:val="14"/>
                <w:color w:val="3E474E"/>
              </w:rPr>
              <w:t>60,468</w:t>
            </w:r>
          </w:p>
        </w:tc>
        <w:tc>
          <w:tcPr>
            <w:tcW w:w="420" w:type="dxa"/>
            <w:vAlign w:val="bottom"/>
          </w:tcPr>
          <w:p>
            <w:pPr>
              <w:spacing w:after="0"/>
              <w:rPr>
                <w:sz w:val="20"/>
                <w:szCs w:val="20"/>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3E474E"/>
              </w:rPr>
              <w:t>—</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3E474E"/>
              </w:rPr>
              <w:t>2,269,344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80" w:hanging="172"/>
        <w:spacing w:after="0" w:line="234" w:lineRule="auto"/>
        <w:tabs>
          <w:tab w:leader="none" w:pos="140" w:val="left"/>
        </w:tabs>
        <w:numPr>
          <w:ilvl w:val="0"/>
          <w:numId w:val="89"/>
        </w:numPr>
        <w:rPr>
          <w:rFonts w:ascii="Arial" w:cs="Arial" w:eastAsia="Arial" w:hAnsi="Arial"/>
          <w:sz w:val="16"/>
          <w:szCs w:val="16"/>
          <w:color w:val="3E474E"/>
          <w:vertAlign w:val="superscript"/>
        </w:rPr>
      </w:pPr>
      <w:r>
        <w:rPr>
          <w:rFonts w:ascii="Arial" w:cs="Arial" w:eastAsia="Arial" w:hAnsi="Arial"/>
          <w:sz w:val="13"/>
          <w:szCs w:val="13"/>
          <w:color w:val="3E474E"/>
        </w:rPr>
        <w:t>The dollar amounts under “Average Summary Compensation Table Total for Non-PEO NEOs” represent the average of the amounts reported for the NEOs as a group (excluding Mr. Tibbetts, who has served as our Chief Executive Officer since January 1, 2025) in the “Total” column of the Summary Compensation Table in each applicable year. The names of each of the NEOs (excluding Mr. Haddad) included for purposes of calculating the average amounts in each applicable year are as follows: (i) for 2025, Matthew T. Barnes-Smith, and Eric E. Apperson; (ii) for 2024, Shawn J. Tibbetts, Matthew T. Barnes-Smith, Eric E. Apperson, and Shelly Hampton; (iii) for 2023, Shawn J. Tibbetts, Matthew T. Barnes-Smith, Eric E. Apperson, and Shelly Hampton; (iv) for 2022, Shawn J. Tibbetts, Matthew T. Barnes-Smith, Michael P. O’Hara (our former Chief Financial Officer), Eric E. Apperson, and Shelly Hampton; and (v) for 2021, Shawn J. Tibbetts, Michael P. O’Hara, Eric E. Apperson, and Shelly Hampton.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56</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747C83"/>
        </w:rPr>
        <w:t>Compensation Table and Narratives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0" w:right="120" w:hanging="172"/>
        <w:spacing w:after="0" w:line="237" w:lineRule="auto"/>
        <w:tabs>
          <w:tab w:leader="none" w:pos="153" w:val="left"/>
        </w:tabs>
        <w:numPr>
          <w:ilvl w:val="0"/>
          <w:numId w:val="90"/>
        </w:numPr>
        <w:rPr>
          <w:rFonts w:ascii="Arial" w:cs="Arial" w:eastAsia="Arial" w:hAnsi="Arial"/>
          <w:sz w:val="16"/>
          <w:szCs w:val="16"/>
          <w:color w:val="3E474E"/>
          <w:vertAlign w:val="superscript"/>
        </w:rPr>
      </w:pPr>
      <w:r>
        <w:rPr>
          <w:rFonts w:ascii="Arial" w:cs="Arial" w:eastAsia="Arial" w:hAnsi="Arial"/>
          <w:sz w:val="13"/>
          <w:szCs w:val="13"/>
          <w:color w:val="3E474E"/>
        </w:rPr>
        <w:t>The dollar amounts under "Average Compensation Actually Paid to Non-PEO NEOs" represent the average amount of "compensation actually paid" to the NEOs as a group (excluding the Chief Executive Officer, Mr. Tibbetts), as computed in accordance with Item 402(v) of Regulation S-K. The dollar amounts do not reflect the actual amount of compensation earned by or paid to the NEOs as a group during the applicable year. In accordance with the requirements of Item 402(v) of Regulation S-K, the adjustments in the table below were made to the NEOs' average total compensation for each year to determine the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969125" cy="11315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69125" cy="1131570"/>
                    </a:xfrm>
                    <a:prstGeom prst="rect">
                      <a:avLst/>
                    </a:prstGeom>
                    <a:noFill/>
                  </pic:spPr>
                </pic:pic>
              </a:graphicData>
            </a:graphic>
          </wp:anchor>
        </w:drawing>
      </w:r>
    </w:p>
    <w:p>
      <w:pPr>
        <w:spacing w:after="0" w:line="80"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1478A3"/>
        </w:rPr>
        <w:t>Reconciliation of Average Summary Compensation Table Total vs Average Compensation Actually Paid (other NEOs) ($)</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69"/>
        </w:trPr>
        <w:tc>
          <w:tcPr>
            <w:tcW w:w="720" w:type="dxa"/>
            <w:vAlign w:val="bottom"/>
          </w:tcPr>
          <w:p>
            <w:pPr>
              <w:spacing w:after="0"/>
              <w:rPr>
                <w:sz w:val="6"/>
                <w:szCs w:val="6"/>
                <w:color w:val="auto"/>
              </w:rPr>
            </w:pPr>
          </w:p>
        </w:tc>
        <w:tc>
          <w:tcPr>
            <w:tcW w:w="1280" w:type="dxa"/>
            <w:vAlign w:val="bottom"/>
            <w:tcBorders>
              <w:top w:val="single" w:sz="8" w:color="E3EAEE"/>
            </w:tcBorders>
            <w:shd w:val="clear" w:color="auto" w:fill="1478A3"/>
          </w:tcPr>
          <w:p>
            <w:pPr>
              <w:spacing w:after="0"/>
              <w:rPr>
                <w:sz w:val="6"/>
                <w:szCs w:val="6"/>
                <w:color w:val="auto"/>
              </w:rPr>
            </w:pPr>
          </w:p>
        </w:tc>
        <w:tc>
          <w:tcPr>
            <w:tcW w:w="120" w:type="dxa"/>
            <w:vAlign w:val="bottom"/>
            <w:tcBorders>
              <w:top w:val="single" w:sz="8" w:color="E3EAEE"/>
            </w:tcBorders>
            <w:shd w:val="clear" w:color="auto" w:fill="1478A3"/>
          </w:tcPr>
          <w:p>
            <w:pPr>
              <w:spacing w:after="0"/>
              <w:rPr>
                <w:sz w:val="6"/>
                <w:szCs w:val="6"/>
                <w:color w:val="auto"/>
              </w:rPr>
            </w:pPr>
          </w:p>
        </w:tc>
        <w:tc>
          <w:tcPr>
            <w:tcW w:w="460" w:type="dxa"/>
            <w:vAlign w:val="bottom"/>
            <w:tcBorders>
              <w:top w:val="single" w:sz="8" w:color="E3EAEE"/>
            </w:tcBorders>
            <w:shd w:val="clear" w:color="auto" w:fill="1478A3"/>
          </w:tcPr>
          <w:p>
            <w:pPr>
              <w:spacing w:after="0"/>
              <w:rPr>
                <w:sz w:val="6"/>
                <w:szCs w:val="6"/>
                <w:color w:val="auto"/>
              </w:rPr>
            </w:pPr>
          </w:p>
        </w:tc>
        <w:tc>
          <w:tcPr>
            <w:tcW w:w="500" w:type="dxa"/>
            <w:vAlign w:val="bottom"/>
            <w:tcBorders>
              <w:top w:val="single" w:sz="8" w:color="E3EAEE"/>
              <w:right w:val="single" w:sz="8" w:color="1478A3"/>
            </w:tcBorders>
            <w:shd w:val="clear" w:color="auto" w:fill="1478A3"/>
          </w:tcPr>
          <w:p>
            <w:pPr>
              <w:spacing w:after="0"/>
              <w:rPr>
                <w:sz w:val="6"/>
                <w:szCs w:val="6"/>
                <w:color w:val="auto"/>
              </w:rPr>
            </w:pPr>
          </w:p>
        </w:tc>
        <w:tc>
          <w:tcPr>
            <w:tcW w:w="340" w:type="dxa"/>
            <w:vAlign w:val="bottom"/>
            <w:tcBorders>
              <w:top w:val="single" w:sz="8" w:color="E3EAEE"/>
            </w:tcBorders>
            <w:shd w:val="clear" w:color="auto" w:fill="1478A3"/>
          </w:tcPr>
          <w:p>
            <w:pPr>
              <w:spacing w:after="0"/>
              <w:rPr>
                <w:sz w:val="6"/>
                <w:szCs w:val="6"/>
                <w:color w:val="auto"/>
              </w:rPr>
            </w:pPr>
          </w:p>
        </w:tc>
        <w:tc>
          <w:tcPr>
            <w:tcW w:w="940" w:type="dxa"/>
            <w:vAlign w:val="bottom"/>
            <w:tcBorders>
              <w:top w:val="single" w:sz="8" w:color="E3EAEE"/>
            </w:tcBorders>
            <w:shd w:val="clear" w:color="auto" w:fill="1478A3"/>
          </w:tcPr>
          <w:p>
            <w:pPr>
              <w:spacing w:after="0"/>
              <w:rPr>
                <w:sz w:val="6"/>
                <w:szCs w:val="6"/>
                <w:color w:val="auto"/>
              </w:rPr>
            </w:pPr>
          </w:p>
        </w:tc>
        <w:tc>
          <w:tcPr>
            <w:tcW w:w="100" w:type="dxa"/>
            <w:vAlign w:val="bottom"/>
            <w:tcBorders>
              <w:top w:val="single" w:sz="8" w:color="E3EAEE"/>
            </w:tcBorders>
            <w:shd w:val="clear" w:color="auto" w:fill="1478A3"/>
          </w:tcPr>
          <w:p>
            <w:pPr>
              <w:spacing w:after="0"/>
              <w:rPr>
                <w:sz w:val="6"/>
                <w:szCs w:val="6"/>
                <w:color w:val="auto"/>
              </w:rPr>
            </w:pPr>
          </w:p>
        </w:tc>
        <w:tc>
          <w:tcPr>
            <w:tcW w:w="340" w:type="dxa"/>
            <w:vAlign w:val="bottom"/>
            <w:tcBorders>
              <w:top w:val="single" w:sz="8" w:color="E3EAEE"/>
            </w:tcBorders>
            <w:shd w:val="clear" w:color="auto" w:fill="1478A3"/>
          </w:tcPr>
          <w:p>
            <w:pPr>
              <w:spacing w:after="0"/>
              <w:rPr>
                <w:sz w:val="6"/>
                <w:szCs w:val="6"/>
                <w:color w:val="auto"/>
              </w:rPr>
            </w:pPr>
          </w:p>
        </w:tc>
        <w:tc>
          <w:tcPr>
            <w:tcW w:w="660" w:type="dxa"/>
            <w:vAlign w:val="bottom"/>
            <w:tcBorders>
              <w:top w:val="single" w:sz="8" w:color="E3EAEE"/>
            </w:tcBorders>
            <w:shd w:val="clear" w:color="auto" w:fill="1478A3"/>
          </w:tcPr>
          <w:p>
            <w:pPr>
              <w:spacing w:after="0"/>
              <w:rPr>
                <w:sz w:val="6"/>
                <w:szCs w:val="6"/>
                <w:color w:val="auto"/>
              </w:rPr>
            </w:pPr>
          </w:p>
        </w:tc>
        <w:tc>
          <w:tcPr>
            <w:tcW w:w="120" w:type="dxa"/>
            <w:vAlign w:val="bottom"/>
            <w:tcBorders>
              <w:top w:val="single" w:sz="8" w:color="E3EAEE"/>
            </w:tcBorders>
            <w:shd w:val="clear" w:color="auto" w:fill="1478A3"/>
          </w:tcPr>
          <w:p>
            <w:pPr>
              <w:spacing w:after="0"/>
              <w:rPr>
                <w:sz w:val="6"/>
                <w:szCs w:val="6"/>
                <w:color w:val="auto"/>
              </w:rPr>
            </w:pPr>
          </w:p>
        </w:tc>
        <w:tc>
          <w:tcPr>
            <w:tcW w:w="320" w:type="dxa"/>
            <w:vAlign w:val="bottom"/>
            <w:tcBorders>
              <w:top w:val="single" w:sz="8" w:color="E3EAEE"/>
            </w:tcBorders>
            <w:shd w:val="clear" w:color="auto" w:fill="1478A3"/>
          </w:tcPr>
          <w:p>
            <w:pPr>
              <w:spacing w:after="0"/>
              <w:rPr>
                <w:sz w:val="6"/>
                <w:szCs w:val="6"/>
                <w:color w:val="auto"/>
              </w:rPr>
            </w:pPr>
          </w:p>
        </w:tc>
        <w:tc>
          <w:tcPr>
            <w:tcW w:w="1120" w:type="dxa"/>
            <w:vAlign w:val="bottom"/>
            <w:tcBorders>
              <w:top w:val="single" w:sz="8" w:color="E3EAEE"/>
            </w:tcBorders>
            <w:shd w:val="clear" w:color="auto" w:fill="1478A3"/>
          </w:tcPr>
          <w:p>
            <w:pPr>
              <w:spacing w:after="0"/>
              <w:rPr>
                <w:sz w:val="6"/>
                <w:szCs w:val="6"/>
                <w:color w:val="auto"/>
              </w:rPr>
            </w:pPr>
          </w:p>
        </w:tc>
        <w:tc>
          <w:tcPr>
            <w:tcW w:w="320" w:type="dxa"/>
            <w:vAlign w:val="bottom"/>
            <w:tcBorders>
              <w:top w:val="single" w:sz="8" w:color="E3EAEE"/>
            </w:tcBorders>
            <w:shd w:val="clear" w:color="auto" w:fill="1478A3"/>
          </w:tcPr>
          <w:p>
            <w:pPr>
              <w:spacing w:after="0"/>
              <w:rPr>
                <w:sz w:val="6"/>
                <w:szCs w:val="6"/>
                <w:color w:val="auto"/>
              </w:rPr>
            </w:pPr>
          </w:p>
        </w:tc>
        <w:tc>
          <w:tcPr>
            <w:tcW w:w="1120" w:type="dxa"/>
            <w:vAlign w:val="bottom"/>
            <w:tcBorders>
              <w:top w:val="single" w:sz="8" w:color="E3EAEE"/>
            </w:tcBorders>
            <w:shd w:val="clear" w:color="auto" w:fill="1478A3"/>
          </w:tcPr>
          <w:p>
            <w:pPr>
              <w:spacing w:after="0"/>
              <w:rPr>
                <w:sz w:val="6"/>
                <w:szCs w:val="6"/>
                <w:color w:val="auto"/>
              </w:rPr>
            </w:pPr>
          </w:p>
        </w:tc>
        <w:tc>
          <w:tcPr>
            <w:tcW w:w="460" w:type="dxa"/>
            <w:vAlign w:val="bottom"/>
            <w:tcBorders>
              <w:top w:val="single" w:sz="8" w:color="E3EAEE"/>
            </w:tcBorders>
            <w:shd w:val="clear" w:color="auto" w:fill="1478A3"/>
          </w:tcPr>
          <w:p>
            <w:pPr>
              <w:spacing w:after="0"/>
              <w:rPr>
                <w:sz w:val="6"/>
                <w:szCs w:val="6"/>
                <w:color w:val="auto"/>
              </w:rPr>
            </w:pPr>
          </w:p>
        </w:tc>
        <w:tc>
          <w:tcPr>
            <w:tcW w:w="860" w:type="dxa"/>
            <w:vAlign w:val="bottom"/>
            <w:tcBorders>
              <w:top w:val="single" w:sz="8" w:color="E3EAEE"/>
              <w:right w:val="single" w:sz="8" w:color="1478A3"/>
            </w:tcBorders>
            <w:shd w:val="clear" w:color="auto" w:fill="1478A3"/>
          </w:tcPr>
          <w:p>
            <w:pPr>
              <w:spacing w:after="0"/>
              <w:rPr>
                <w:sz w:val="6"/>
                <w:szCs w:val="6"/>
                <w:color w:val="auto"/>
              </w:rPr>
            </w:pPr>
          </w:p>
        </w:tc>
        <w:tc>
          <w:tcPr>
            <w:tcW w:w="520" w:type="dxa"/>
            <w:vAlign w:val="bottom"/>
            <w:tcBorders>
              <w:top w:val="single" w:sz="8" w:color="E3EAEE"/>
            </w:tcBorders>
            <w:shd w:val="clear" w:color="auto" w:fill="1478A3"/>
          </w:tcPr>
          <w:p>
            <w:pPr>
              <w:spacing w:after="0"/>
              <w:rPr>
                <w:sz w:val="6"/>
                <w:szCs w:val="6"/>
                <w:color w:val="auto"/>
              </w:rPr>
            </w:pPr>
          </w:p>
        </w:tc>
        <w:tc>
          <w:tcPr>
            <w:tcW w:w="680" w:type="dxa"/>
            <w:vAlign w:val="bottom"/>
            <w:tcBorders>
              <w:top w:val="single" w:sz="8" w:color="E3EAEE"/>
            </w:tcBorders>
            <w:shd w:val="clear" w:color="auto" w:fill="1478A3"/>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Average</w:t>
            </w:r>
          </w:p>
        </w:tc>
        <w:tc>
          <w:tcPr>
            <w:tcW w:w="120" w:type="dxa"/>
            <w:vAlign w:val="bottom"/>
            <w:shd w:val="clear" w:color="auto" w:fill="E3EAEE"/>
          </w:tcPr>
          <w:p>
            <w:pPr>
              <w:spacing w:after="0"/>
              <w:rPr>
                <w:sz w:val="14"/>
                <w:szCs w:val="14"/>
                <w:color w:val="auto"/>
              </w:rPr>
            </w:pPr>
          </w:p>
        </w:tc>
        <w:tc>
          <w:tcPr>
            <w:tcW w:w="960" w:type="dxa"/>
            <w:vAlign w:val="bottom"/>
            <w:tcBorders>
              <w:right w:val="single" w:sz="8" w:color="E3EAEE"/>
            </w:tcBorders>
            <w:gridSpan w:val="2"/>
            <w:shd w:val="clear" w:color="auto" w:fill="E3EAEE"/>
          </w:tcPr>
          <w:p>
            <w:pPr>
              <w:jc w:val="center"/>
              <w:ind w:right="160"/>
              <w:spacing w:after="0"/>
              <w:rPr>
                <w:sz w:val="20"/>
                <w:szCs w:val="20"/>
                <w:color w:val="auto"/>
              </w:rPr>
            </w:pPr>
            <w:r>
              <w:rPr>
                <w:rFonts w:ascii="Arial" w:cs="Arial" w:eastAsia="Arial" w:hAnsi="Arial"/>
                <w:sz w:val="14"/>
                <w:szCs w:val="14"/>
                <w:b w:val="1"/>
                <w:bCs w:val="1"/>
                <w:color w:val="1478A3"/>
              </w:rPr>
              <w:t>Minus: SCT</w:t>
            </w:r>
          </w:p>
        </w:tc>
        <w:tc>
          <w:tcPr>
            <w:tcW w:w="1280" w:type="dxa"/>
            <w:vAlign w:val="bottom"/>
            <w:gridSpan w:val="2"/>
            <w:shd w:val="clear" w:color="auto" w:fill="E3EAEE"/>
          </w:tcPr>
          <w:p>
            <w:pPr>
              <w:jc w:val="center"/>
              <w:ind w:right="60"/>
              <w:spacing w:after="0"/>
              <w:rPr>
                <w:sz w:val="20"/>
                <w:szCs w:val="20"/>
                <w:color w:val="auto"/>
              </w:rPr>
            </w:pPr>
            <w:r>
              <w:rPr>
                <w:rFonts w:ascii="Arial" w:cs="Arial" w:eastAsia="Arial" w:hAnsi="Arial"/>
                <w:sz w:val="14"/>
                <w:szCs w:val="14"/>
                <w:b w:val="1"/>
                <w:bCs w:val="1"/>
                <w:color w:val="1478A3"/>
              </w:rPr>
              <w:t>Add: Fair value at</w:t>
            </w:r>
          </w:p>
        </w:tc>
        <w:tc>
          <w:tcPr>
            <w:tcW w:w="100" w:type="dxa"/>
            <w:vAlign w:val="bottom"/>
            <w:shd w:val="clear" w:color="auto" w:fill="E3EAEE"/>
          </w:tcPr>
          <w:p>
            <w:pPr>
              <w:spacing w:after="0"/>
              <w:rPr>
                <w:sz w:val="14"/>
                <w:szCs w:val="14"/>
                <w:color w:val="auto"/>
              </w:rPr>
            </w:pPr>
          </w:p>
        </w:tc>
        <w:tc>
          <w:tcPr>
            <w:tcW w:w="1000" w:type="dxa"/>
            <w:vAlign w:val="bottom"/>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Add: Vesting</w:t>
            </w:r>
          </w:p>
        </w:tc>
        <w:tc>
          <w:tcPr>
            <w:tcW w:w="1560" w:type="dxa"/>
            <w:vAlign w:val="bottom"/>
            <w:gridSpan w:val="3"/>
            <w:shd w:val="clear" w:color="auto" w:fill="E3EAEE"/>
          </w:tcPr>
          <w:p>
            <w:pPr>
              <w:jc w:val="center"/>
              <w:spacing w:after="0"/>
              <w:rPr>
                <w:sz w:val="20"/>
                <w:szCs w:val="20"/>
                <w:color w:val="auto"/>
              </w:rPr>
            </w:pPr>
            <w:r>
              <w:rPr>
                <w:rFonts w:ascii="Arial" w:cs="Arial" w:eastAsia="Arial" w:hAnsi="Arial"/>
                <w:sz w:val="14"/>
                <w:szCs w:val="14"/>
                <w:b w:val="1"/>
                <w:bCs w:val="1"/>
                <w:color w:val="1478A3"/>
              </w:rPr>
              <w:t>Add: Change in fair</w:t>
            </w:r>
          </w:p>
        </w:tc>
        <w:tc>
          <w:tcPr>
            <w:tcW w:w="2760" w:type="dxa"/>
            <w:vAlign w:val="bottom"/>
            <w:tcBorders>
              <w:right w:val="single" w:sz="8" w:color="E3EAEE"/>
            </w:tcBorders>
            <w:gridSpan w:val="4"/>
            <w:shd w:val="clear" w:color="auto" w:fill="E3EAEE"/>
          </w:tcPr>
          <w:p>
            <w:pPr>
              <w:jc w:val="right"/>
              <w:ind w:right="68"/>
              <w:spacing w:after="0"/>
              <w:rPr>
                <w:sz w:val="20"/>
                <w:szCs w:val="20"/>
                <w:color w:val="auto"/>
              </w:rPr>
            </w:pPr>
            <w:r>
              <w:rPr>
                <w:rFonts w:ascii="Arial" w:cs="Arial" w:eastAsia="Arial" w:hAnsi="Arial"/>
                <w:sz w:val="14"/>
                <w:szCs w:val="14"/>
                <w:b w:val="1"/>
                <w:bCs w:val="1"/>
                <w:color w:val="1478A3"/>
              </w:rPr>
              <w:t>Add: Year-over-year Minus: Fair value</w:t>
            </w:r>
          </w:p>
        </w:tc>
        <w:tc>
          <w:tcPr>
            <w:tcW w:w="1200" w:type="dxa"/>
            <w:vAlign w:val="bottom"/>
            <w:gridSpan w:val="2"/>
            <w:shd w:val="clear" w:color="auto" w:fill="E3EAEE"/>
          </w:tcPr>
          <w:p>
            <w:pPr>
              <w:jc w:val="center"/>
              <w:ind w:right="80"/>
              <w:spacing w:after="0"/>
              <w:rPr>
                <w:sz w:val="20"/>
                <w:szCs w:val="20"/>
                <w:color w:val="auto"/>
              </w:rPr>
            </w:pPr>
            <w:r>
              <w:rPr>
                <w:rFonts w:ascii="Arial" w:cs="Arial" w:eastAsia="Arial" w:hAnsi="Arial"/>
                <w:sz w:val="14"/>
                <w:szCs w:val="14"/>
                <w:b w:val="1"/>
                <w:bCs w:val="1"/>
                <w:color w:val="1478A3"/>
              </w:rPr>
              <w:t>Equals: Average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80" w:type="dxa"/>
            <w:vAlign w:val="bottom"/>
            <w:vMerge w:val="restart"/>
            <w:shd w:val="clear" w:color="auto" w:fill="E3EAEE"/>
          </w:tcPr>
          <w:p>
            <w:pPr>
              <w:jc w:val="center"/>
              <w:spacing w:after="0"/>
              <w:rPr>
                <w:sz w:val="20"/>
                <w:szCs w:val="20"/>
                <w:color w:val="auto"/>
              </w:rPr>
            </w:pPr>
            <w:r>
              <w:rPr>
                <w:rFonts w:ascii="Arial" w:cs="Arial" w:eastAsia="Arial" w:hAnsi="Arial"/>
                <w:sz w:val="14"/>
                <w:szCs w:val="14"/>
                <w:b w:val="1"/>
                <w:bCs w:val="1"/>
                <w:color w:val="1478A3"/>
              </w:rPr>
              <w:t>Compensation as</w:t>
            </w:r>
          </w:p>
        </w:tc>
        <w:tc>
          <w:tcPr>
            <w:tcW w:w="120" w:type="dxa"/>
            <w:vAlign w:val="bottom"/>
            <w:shd w:val="clear" w:color="auto" w:fill="E3EAEE"/>
          </w:tcPr>
          <w:p>
            <w:pPr>
              <w:spacing w:after="0" w:line="20" w:lineRule="exact"/>
              <w:rPr>
                <w:sz w:val="1"/>
                <w:szCs w:val="1"/>
                <w:color w:val="auto"/>
              </w:rPr>
            </w:pPr>
          </w:p>
        </w:tc>
        <w:tc>
          <w:tcPr>
            <w:tcW w:w="460" w:type="dxa"/>
            <w:vAlign w:val="bottom"/>
            <w:shd w:val="clear" w:color="auto" w:fill="1478A3"/>
          </w:tcPr>
          <w:p>
            <w:pPr>
              <w:spacing w:after="0" w:line="20" w:lineRule="exact"/>
              <w:rPr>
                <w:sz w:val="1"/>
                <w:szCs w:val="1"/>
                <w:color w:val="auto"/>
              </w:rPr>
            </w:pPr>
          </w:p>
        </w:tc>
        <w:tc>
          <w:tcPr>
            <w:tcW w:w="500" w:type="dxa"/>
            <w:vAlign w:val="bottom"/>
            <w:tcBorders>
              <w:right w:val="single" w:sz="8" w:color="E3EAEE"/>
            </w:tcBorders>
            <w:shd w:val="clear" w:color="auto" w:fill="E3EAEE"/>
          </w:tcPr>
          <w:p>
            <w:pPr>
              <w:spacing w:after="0" w:line="20" w:lineRule="exact"/>
              <w:rPr>
                <w:sz w:val="1"/>
                <w:szCs w:val="1"/>
                <w:color w:val="auto"/>
              </w:rPr>
            </w:pPr>
          </w:p>
        </w:tc>
        <w:tc>
          <w:tcPr>
            <w:tcW w:w="340" w:type="dxa"/>
            <w:vAlign w:val="bottom"/>
            <w:shd w:val="clear" w:color="auto" w:fill="1478A3"/>
          </w:tcPr>
          <w:p>
            <w:pPr>
              <w:spacing w:after="0" w:line="20" w:lineRule="exact"/>
              <w:rPr>
                <w:sz w:val="1"/>
                <w:szCs w:val="1"/>
                <w:color w:val="auto"/>
              </w:rPr>
            </w:pPr>
          </w:p>
        </w:tc>
        <w:tc>
          <w:tcPr>
            <w:tcW w:w="940" w:type="dxa"/>
            <w:vAlign w:val="bottom"/>
            <w:shd w:val="clear" w:color="auto" w:fill="E3EAEE"/>
          </w:tcPr>
          <w:p>
            <w:pPr>
              <w:spacing w:after="0" w:line="20" w:lineRule="exact"/>
              <w:rPr>
                <w:sz w:val="1"/>
                <w:szCs w:val="1"/>
                <w:color w:val="auto"/>
              </w:rPr>
            </w:pPr>
          </w:p>
        </w:tc>
        <w:tc>
          <w:tcPr>
            <w:tcW w:w="100" w:type="dxa"/>
            <w:vAlign w:val="bottom"/>
            <w:shd w:val="clear" w:color="auto" w:fill="E3EAEE"/>
          </w:tcPr>
          <w:p>
            <w:pPr>
              <w:spacing w:after="0" w:line="20" w:lineRule="exact"/>
              <w:rPr>
                <w:sz w:val="1"/>
                <w:szCs w:val="1"/>
                <w:color w:val="auto"/>
              </w:rPr>
            </w:pPr>
          </w:p>
        </w:tc>
        <w:tc>
          <w:tcPr>
            <w:tcW w:w="340" w:type="dxa"/>
            <w:vAlign w:val="bottom"/>
            <w:shd w:val="clear" w:color="auto" w:fill="1478A3"/>
          </w:tcPr>
          <w:p>
            <w:pPr>
              <w:spacing w:after="0" w:line="20" w:lineRule="exact"/>
              <w:rPr>
                <w:sz w:val="1"/>
                <w:szCs w:val="1"/>
                <w:color w:val="auto"/>
              </w:rPr>
            </w:pPr>
          </w:p>
        </w:tc>
        <w:tc>
          <w:tcPr>
            <w:tcW w:w="660" w:type="dxa"/>
            <w:vAlign w:val="bottom"/>
            <w:shd w:val="clear" w:color="auto" w:fill="E3EAEE"/>
          </w:tcPr>
          <w:p>
            <w:pPr>
              <w:spacing w:after="0" w:line="20" w:lineRule="exact"/>
              <w:rPr>
                <w:sz w:val="1"/>
                <w:szCs w:val="1"/>
                <w:color w:val="auto"/>
              </w:rPr>
            </w:pPr>
          </w:p>
        </w:tc>
        <w:tc>
          <w:tcPr>
            <w:tcW w:w="120" w:type="dxa"/>
            <w:vAlign w:val="bottom"/>
            <w:shd w:val="clear" w:color="auto" w:fill="E3EAEE"/>
          </w:tcPr>
          <w:p>
            <w:pPr>
              <w:spacing w:after="0" w:line="20" w:lineRule="exact"/>
              <w:rPr>
                <w:sz w:val="1"/>
                <w:szCs w:val="1"/>
                <w:color w:val="auto"/>
              </w:rPr>
            </w:pPr>
          </w:p>
        </w:tc>
        <w:tc>
          <w:tcPr>
            <w:tcW w:w="320" w:type="dxa"/>
            <w:vAlign w:val="bottom"/>
            <w:shd w:val="clear" w:color="auto" w:fill="1478A3"/>
          </w:tcPr>
          <w:p>
            <w:pPr>
              <w:spacing w:after="0" w:line="20" w:lineRule="exact"/>
              <w:rPr>
                <w:sz w:val="1"/>
                <w:szCs w:val="1"/>
                <w:color w:val="auto"/>
              </w:rPr>
            </w:pPr>
          </w:p>
        </w:tc>
        <w:tc>
          <w:tcPr>
            <w:tcW w:w="1120" w:type="dxa"/>
            <w:vAlign w:val="bottom"/>
            <w:shd w:val="clear" w:color="auto" w:fill="E3EAEE"/>
          </w:tcPr>
          <w:p>
            <w:pPr>
              <w:spacing w:after="0" w:line="20" w:lineRule="exact"/>
              <w:rPr>
                <w:sz w:val="1"/>
                <w:szCs w:val="1"/>
                <w:color w:val="auto"/>
              </w:rPr>
            </w:pPr>
          </w:p>
        </w:tc>
        <w:tc>
          <w:tcPr>
            <w:tcW w:w="320" w:type="dxa"/>
            <w:vAlign w:val="bottom"/>
            <w:shd w:val="clear" w:color="auto" w:fill="1478A3"/>
          </w:tcPr>
          <w:p>
            <w:pPr>
              <w:spacing w:after="0" w:line="20" w:lineRule="exact"/>
              <w:rPr>
                <w:sz w:val="1"/>
                <w:szCs w:val="1"/>
                <w:color w:val="auto"/>
              </w:rPr>
            </w:pPr>
          </w:p>
        </w:tc>
        <w:tc>
          <w:tcPr>
            <w:tcW w:w="1120" w:type="dxa"/>
            <w:vAlign w:val="bottom"/>
            <w:shd w:val="clear" w:color="auto" w:fill="E3EAEE"/>
          </w:tcPr>
          <w:p>
            <w:pPr>
              <w:spacing w:after="0" w:line="20" w:lineRule="exact"/>
              <w:rPr>
                <w:sz w:val="1"/>
                <w:szCs w:val="1"/>
                <w:color w:val="auto"/>
              </w:rPr>
            </w:pPr>
          </w:p>
        </w:tc>
        <w:tc>
          <w:tcPr>
            <w:tcW w:w="460" w:type="dxa"/>
            <w:vAlign w:val="bottom"/>
            <w:shd w:val="clear" w:color="auto" w:fill="1478A3"/>
          </w:tcPr>
          <w:p>
            <w:pPr>
              <w:spacing w:after="0" w:line="20" w:lineRule="exact"/>
              <w:rPr>
                <w:sz w:val="1"/>
                <w:szCs w:val="1"/>
                <w:color w:val="auto"/>
              </w:rPr>
            </w:pPr>
          </w:p>
        </w:tc>
        <w:tc>
          <w:tcPr>
            <w:tcW w:w="860" w:type="dxa"/>
            <w:vAlign w:val="bottom"/>
            <w:tcBorders>
              <w:right w:val="single" w:sz="8" w:color="E3EAEE"/>
            </w:tcBorders>
            <w:shd w:val="clear" w:color="auto" w:fill="E3EAEE"/>
          </w:tcPr>
          <w:p>
            <w:pPr>
              <w:spacing w:after="0" w:line="20" w:lineRule="exact"/>
              <w:rPr>
                <w:sz w:val="1"/>
                <w:szCs w:val="1"/>
                <w:color w:val="auto"/>
              </w:rPr>
            </w:pPr>
          </w:p>
        </w:tc>
        <w:tc>
          <w:tcPr>
            <w:tcW w:w="520" w:type="dxa"/>
            <w:vAlign w:val="bottom"/>
            <w:shd w:val="clear" w:color="auto" w:fill="1478A3"/>
          </w:tcPr>
          <w:p>
            <w:pPr>
              <w:spacing w:after="0" w:line="20" w:lineRule="exact"/>
              <w:rPr>
                <w:sz w:val="1"/>
                <w:szCs w:val="1"/>
                <w:color w:val="auto"/>
              </w:rPr>
            </w:pPr>
          </w:p>
        </w:tc>
        <w:tc>
          <w:tcPr>
            <w:tcW w:w="680" w:type="dxa"/>
            <w:vAlign w:val="bottom"/>
            <w:shd w:val="clear" w:color="auto" w:fill="E3EA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0" w:type="dxa"/>
            <w:vAlign w:val="bottom"/>
          </w:tcPr>
          <w:p>
            <w:pPr>
              <w:spacing w:after="0"/>
              <w:rPr>
                <w:sz w:val="13"/>
                <w:szCs w:val="13"/>
                <w:color w:val="auto"/>
              </w:rPr>
            </w:pPr>
          </w:p>
        </w:tc>
        <w:tc>
          <w:tcPr>
            <w:tcW w:w="1280" w:type="dxa"/>
            <w:vAlign w:val="bottom"/>
            <w:vMerge w:val="continue"/>
            <w:shd w:val="clear" w:color="auto" w:fill="E3EAEE"/>
          </w:tcPr>
          <w:p>
            <w:pPr>
              <w:spacing w:after="0"/>
              <w:rPr>
                <w:sz w:val="13"/>
                <w:szCs w:val="13"/>
                <w:color w:val="auto"/>
              </w:rPr>
            </w:pPr>
          </w:p>
        </w:tc>
        <w:tc>
          <w:tcPr>
            <w:tcW w:w="120" w:type="dxa"/>
            <w:vAlign w:val="bottom"/>
            <w:shd w:val="clear" w:color="auto" w:fill="E3EAEE"/>
          </w:tcPr>
          <w:p>
            <w:pPr>
              <w:spacing w:after="0"/>
              <w:rPr>
                <w:sz w:val="13"/>
                <w:szCs w:val="13"/>
                <w:color w:val="auto"/>
              </w:rPr>
            </w:pPr>
          </w:p>
        </w:tc>
        <w:tc>
          <w:tcPr>
            <w:tcW w:w="960" w:type="dxa"/>
            <w:vAlign w:val="bottom"/>
            <w:tcBorders>
              <w:right w:val="single" w:sz="8" w:color="E3EAEE"/>
            </w:tcBorders>
            <w:gridSpan w:val="2"/>
            <w:shd w:val="clear" w:color="auto" w:fill="E3EAEE"/>
          </w:tcPr>
          <w:p>
            <w:pPr>
              <w:jc w:val="center"/>
              <w:ind w:right="160"/>
              <w:spacing w:after="0" w:line="160" w:lineRule="exact"/>
              <w:rPr>
                <w:sz w:val="20"/>
                <w:szCs w:val="20"/>
                <w:color w:val="auto"/>
              </w:rPr>
            </w:pPr>
            <w:r>
              <w:rPr>
                <w:rFonts w:ascii="Arial" w:cs="Arial" w:eastAsia="Arial" w:hAnsi="Arial"/>
                <w:sz w:val="14"/>
                <w:szCs w:val="14"/>
                <w:b w:val="1"/>
                <w:bCs w:val="1"/>
                <w:color w:val="1478A3"/>
              </w:rPr>
              <w:t>Equity</w:t>
            </w:r>
          </w:p>
        </w:tc>
        <w:tc>
          <w:tcPr>
            <w:tcW w:w="1280" w:type="dxa"/>
            <w:vAlign w:val="bottom"/>
            <w:gridSpan w:val="2"/>
            <w:shd w:val="clear" w:color="auto" w:fill="E3EAEE"/>
          </w:tcPr>
          <w:p>
            <w:pPr>
              <w:jc w:val="right"/>
              <w:ind w:right="80"/>
              <w:spacing w:after="0" w:line="160" w:lineRule="exact"/>
              <w:rPr>
                <w:sz w:val="20"/>
                <w:szCs w:val="20"/>
                <w:color w:val="auto"/>
              </w:rPr>
            </w:pPr>
            <w:r>
              <w:rPr>
                <w:rFonts w:ascii="Arial" w:cs="Arial" w:eastAsia="Arial" w:hAnsi="Arial"/>
                <w:sz w:val="14"/>
                <w:szCs w:val="14"/>
                <w:b w:val="1"/>
                <w:bCs w:val="1"/>
                <w:color w:val="1478A3"/>
              </w:rPr>
              <w:t>end of fiscal year</w:t>
            </w:r>
          </w:p>
        </w:tc>
        <w:tc>
          <w:tcPr>
            <w:tcW w:w="1100" w:type="dxa"/>
            <w:vAlign w:val="bottom"/>
            <w:gridSpan w:val="3"/>
            <w:shd w:val="clear" w:color="auto" w:fill="E3EAEE"/>
          </w:tcPr>
          <w:p>
            <w:pPr>
              <w:jc w:val="center"/>
              <w:spacing w:after="0" w:line="160" w:lineRule="exact"/>
              <w:rPr>
                <w:sz w:val="20"/>
                <w:szCs w:val="20"/>
                <w:color w:val="auto"/>
              </w:rPr>
            </w:pPr>
            <w:r>
              <w:rPr>
                <w:rFonts w:ascii="Arial" w:cs="Arial" w:eastAsia="Arial" w:hAnsi="Arial"/>
                <w:sz w:val="14"/>
                <w:szCs w:val="14"/>
                <w:b w:val="1"/>
                <w:bCs w:val="1"/>
                <w:color w:val="1478A3"/>
              </w:rPr>
              <w:t>date fair value</w:t>
            </w:r>
          </w:p>
        </w:tc>
        <w:tc>
          <w:tcPr>
            <w:tcW w:w="120" w:type="dxa"/>
            <w:vAlign w:val="bottom"/>
            <w:shd w:val="clear" w:color="auto" w:fill="E3EAEE"/>
          </w:tcPr>
          <w:p>
            <w:pPr>
              <w:spacing w:after="0"/>
              <w:rPr>
                <w:sz w:val="13"/>
                <w:szCs w:val="13"/>
                <w:color w:val="auto"/>
              </w:rPr>
            </w:pPr>
          </w:p>
        </w:tc>
        <w:tc>
          <w:tcPr>
            <w:tcW w:w="1440" w:type="dxa"/>
            <w:vAlign w:val="bottom"/>
            <w:gridSpan w:val="2"/>
            <w:shd w:val="clear" w:color="auto" w:fill="E3EAEE"/>
          </w:tcPr>
          <w:p>
            <w:pPr>
              <w:jc w:val="center"/>
              <w:ind w:right="120"/>
              <w:spacing w:after="0" w:line="160" w:lineRule="exact"/>
              <w:rPr>
                <w:sz w:val="20"/>
                <w:szCs w:val="20"/>
                <w:color w:val="auto"/>
              </w:rPr>
            </w:pPr>
            <w:r>
              <w:rPr>
                <w:rFonts w:ascii="Arial" w:cs="Arial" w:eastAsia="Arial" w:hAnsi="Arial"/>
                <w:sz w:val="14"/>
                <w:szCs w:val="14"/>
                <w:b w:val="1"/>
                <w:bCs w:val="1"/>
                <w:color w:val="1478A3"/>
              </w:rPr>
              <w:t>value from end of</w:t>
            </w:r>
          </w:p>
        </w:tc>
        <w:tc>
          <w:tcPr>
            <w:tcW w:w="1440" w:type="dxa"/>
            <w:vAlign w:val="bottom"/>
            <w:gridSpan w:val="2"/>
            <w:shd w:val="clear" w:color="auto" w:fill="E3EAEE"/>
          </w:tcPr>
          <w:p>
            <w:pPr>
              <w:jc w:val="right"/>
              <w:ind w:right="80"/>
              <w:spacing w:after="0" w:line="160" w:lineRule="exact"/>
              <w:rPr>
                <w:sz w:val="20"/>
                <w:szCs w:val="20"/>
                <w:color w:val="auto"/>
              </w:rPr>
            </w:pPr>
            <w:r>
              <w:rPr>
                <w:rFonts w:ascii="Arial" w:cs="Arial" w:eastAsia="Arial" w:hAnsi="Arial"/>
                <w:sz w:val="14"/>
                <w:szCs w:val="14"/>
                <w:b w:val="1"/>
                <w:bCs w:val="1"/>
                <w:color w:val="1478A3"/>
              </w:rPr>
              <w:t>change in fair value</w:t>
            </w:r>
          </w:p>
        </w:tc>
        <w:tc>
          <w:tcPr>
            <w:tcW w:w="1320" w:type="dxa"/>
            <w:vAlign w:val="bottom"/>
            <w:tcBorders>
              <w:right w:val="single" w:sz="8" w:color="E3EAEE"/>
            </w:tcBorders>
            <w:gridSpan w:val="2"/>
            <w:shd w:val="clear" w:color="auto" w:fill="E3EAEE"/>
          </w:tcPr>
          <w:p>
            <w:pPr>
              <w:jc w:val="center"/>
              <w:ind w:right="68"/>
              <w:spacing w:after="0" w:line="160" w:lineRule="exact"/>
              <w:rPr>
                <w:sz w:val="20"/>
                <w:szCs w:val="20"/>
                <w:color w:val="auto"/>
              </w:rPr>
            </w:pPr>
            <w:r>
              <w:rPr>
                <w:rFonts w:ascii="Arial" w:cs="Arial" w:eastAsia="Arial" w:hAnsi="Arial"/>
                <w:sz w:val="14"/>
                <w:szCs w:val="14"/>
                <w:b w:val="1"/>
                <w:bCs w:val="1"/>
                <w:color w:val="1478A3"/>
              </w:rPr>
              <w:t>of forfeitures</w:t>
            </w:r>
          </w:p>
        </w:tc>
        <w:tc>
          <w:tcPr>
            <w:tcW w:w="1200" w:type="dxa"/>
            <w:vAlign w:val="bottom"/>
            <w:gridSpan w:val="2"/>
            <w:shd w:val="clear" w:color="auto" w:fill="E3EAEE"/>
          </w:tcPr>
          <w:p>
            <w:pPr>
              <w:jc w:val="center"/>
              <w:ind w:right="80"/>
              <w:spacing w:after="0" w:line="160" w:lineRule="exact"/>
              <w:rPr>
                <w:sz w:val="20"/>
                <w:szCs w:val="20"/>
                <w:color w:val="auto"/>
              </w:rPr>
            </w:pPr>
            <w:r>
              <w:rPr>
                <w:rFonts w:ascii="Arial" w:cs="Arial" w:eastAsia="Arial" w:hAnsi="Arial"/>
                <w:sz w:val="14"/>
                <w:szCs w:val="14"/>
                <w:b w:val="1"/>
                <w:bCs w:val="1"/>
                <w:color w:val="1478A3"/>
              </w:rPr>
              <w:t>Compensation</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reported in the</w:t>
            </w:r>
          </w:p>
        </w:tc>
        <w:tc>
          <w:tcPr>
            <w:tcW w:w="120" w:type="dxa"/>
            <w:vAlign w:val="bottom"/>
            <w:shd w:val="clear" w:color="auto" w:fill="E3EAEE"/>
          </w:tcPr>
          <w:p>
            <w:pPr>
              <w:spacing w:after="0"/>
              <w:rPr>
                <w:sz w:val="15"/>
                <w:szCs w:val="15"/>
                <w:color w:val="auto"/>
              </w:rPr>
            </w:pPr>
          </w:p>
        </w:tc>
        <w:tc>
          <w:tcPr>
            <w:tcW w:w="960" w:type="dxa"/>
            <w:vAlign w:val="bottom"/>
            <w:tcBorders>
              <w:right w:val="single" w:sz="8" w:color="E3EAEE"/>
            </w:tcBorders>
            <w:gridSpan w:val="2"/>
            <w:shd w:val="clear" w:color="auto" w:fill="E3EAEE"/>
          </w:tcPr>
          <w:p>
            <w:pPr>
              <w:jc w:val="center"/>
              <w:ind w:right="160"/>
              <w:spacing w:after="0"/>
              <w:rPr>
                <w:sz w:val="20"/>
                <w:szCs w:val="20"/>
                <w:color w:val="auto"/>
              </w:rPr>
            </w:pPr>
            <w:r>
              <w:rPr>
                <w:rFonts w:ascii="Arial" w:cs="Arial" w:eastAsia="Arial" w:hAnsi="Arial"/>
                <w:sz w:val="14"/>
                <w:szCs w:val="14"/>
                <w:b w:val="1"/>
                <w:bCs w:val="1"/>
                <w:color w:val="1478A3"/>
              </w:rPr>
              <w:t>Awards</w:t>
            </w:r>
          </w:p>
        </w:tc>
        <w:tc>
          <w:tcPr>
            <w:tcW w:w="1280" w:type="dxa"/>
            <w:vAlign w:val="bottom"/>
            <w:gridSpan w:val="2"/>
            <w:shd w:val="clear" w:color="auto" w:fill="E3EAEE"/>
          </w:tcPr>
          <w:p>
            <w:pPr>
              <w:jc w:val="center"/>
              <w:ind w:right="80"/>
              <w:spacing w:after="0"/>
              <w:rPr>
                <w:sz w:val="20"/>
                <w:szCs w:val="20"/>
                <w:color w:val="auto"/>
              </w:rPr>
            </w:pPr>
            <w:r>
              <w:rPr>
                <w:rFonts w:ascii="Arial" w:cs="Arial" w:eastAsia="Arial" w:hAnsi="Arial"/>
                <w:sz w:val="14"/>
                <w:szCs w:val="14"/>
                <w:b w:val="1"/>
                <w:bCs w:val="1"/>
                <w:color w:val="1478A3"/>
              </w:rPr>
              <w:t>of equity</w:t>
            </w:r>
          </w:p>
        </w:tc>
        <w:tc>
          <w:tcPr>
            <w:tcW w:w="100" w:type="dxa"/>
            <w:vAlign w:val="bottom"/>
            <w:shd w:val="clear" w:color="auto" w:fill="E3EAEE"/>
          </w:tcPr>
          <w:p>
            <w:pPr>
              <w:spacing w:after="0"/>
              <w:rPr>
                <w:sz w:val="15"/>
                <w:szCs w:val="15"/>
                <w:color w:val="auto"/>
              </w:rPr>
            </w:pPr>
          </w:p>
        </w:tc>
        <w:tc>
          <w:tcPr>
            <w:tcW w:w="1000" w:type="dxa"/>
            <w:vAlign w:val="bottom"/>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of equity</w:t>
            </w:r>
          </w:p>
        </w:tc>
        <w:tc>
          <w:tcPr>
            <w:tcW w:w="120" w:type="dxa"/>
            <w:vAlign w:val="bottom"/>
            <w:shd w:val="clear" w:color="auto" w:fill="E3EAEE"/>
          </w:tcPr>
          <w:p>
            <w:pPr>
              <w:spacing w:after="0"/>
              <w:rPr>
                <w:sz w:val="15"/>
                <w:szCs w:val="15"/>
                <w:color w:val="auto"/>
              </w:rPr>
            </w:pPr>
          </w:p>
        </w:tc>
        <w:tc>
          <w:tcPr>
            <w:tcW w:w="1440" w:type="dxa"/>
            <w:vAlign w:val="bottom"/>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prior fiscal year to</w:t>
            </w:r>
          </w:p>
        </w:tc>
        <w:tc>
          <w:tcPr>
            <w:tcW w:w="1440" w:type="dxa"/>
            <w:vAlign w:val="bottom"/>
            <w:gridSpan w:val="2"/>
            <w:shd w:val="clear" w:color="auto" w:fill="E3EAEE"/>
          </w:tcPr>
          <w:p>
            <w:pPr>
              <w:jc w:val="right"/>
              <w:ind w:right="240"/>
              <w:spacing w:after="0"/>
              <w:rPr>
                <w:sz w:val="20"/>
                <w:szCs w:val="20"/>
                <w:color w:val="auto"/>
              </w:rPr>
            </w:pPr>
            <w:r>
              <w:rPr>
                <w:rFonts w:ascii="Arial" w:cs="Arial" w:eastAsia="Arial" w:hAnsi="Arial"/>
                <w:sz w:val="14"/>
                <w:szCs w:val="14"/>
                <w:b w:val="1"/>
                <w:bCs w:val="1"/>
                <w:color w:val="1478A3"/>
              </w:rPr>
              <w:t>of outstanding,</w:t>
            </w:r>
          </w:p>
        </w:tc>
        <w:tc>
          <w:tcPr>
            <w:tcW w:w="1320" w:type="dxa"/>
            <w:vAlign w:val="bottom"/>
            <w:tcBorders>
              <w:right w:val="single" w:sz="8" w:color="E3EAEE"/>
            </w:tcBorders>
            <w:gridSpan w:val="2"/>
            <w:shd w:val="clear" w:color="auto" w:fill="E3EAEE"/>
          </w:tcPr>
          <w:p>
            <w:pPr>
              <w:jc w:val="center"/>
              <w:ind w:right="68"/>
              <w:spacing w:after="0"/>
              <w:rPr>
                <w:sz w:val="20"/>
                <w:szCs w:val="20"/>
                <w:color w:val="auto"/>
              </w:rPr>
            </w:pPr>
            <w:r>
              <w:rPr>
                <w:rFonts w:ascii="Arial" w:cs="Arial" w:eastAsia="Arial" w:hAnsi="Arial"/>
                <w:sz w:val="14"/>
                <w:szCs w:val="14"/>
                <w:b w:val="1"/>
                <w:bCs w:val="1"/>
                <w:color w:val="1478A3"/>
              </w:rPr>
              <w:t>during the fiscal</w:t>
            </w:r>
          </w:p>
        </w:tc>
        <w:tc>
          <w:tcPr>
            <w:tcW w:w="1200" w:type="dxa"/>
            <w:vAlign w:val="bottom"/>
            <w:gridSpan w:val="2"/>
            <w:shd w:val="clear" w:color="auto" w:fill="E3EAEE"/>
          </w:tcPr>
          <w:p>
            <w:pPr>
              <w:jc w:val="center"/>
              <w:ind w:right="80"/>
              <w:spacing w:after="0"/>
              <w:rPr>
                <w:sz w:val="20"/>
                <w:szCs w:val="20"/>
                <w:color w:val="auto"/>
              </w:rPr>
            </w:pPr>
            <w:r>
              <w:rPr>
                <w:rFonts w:ascii="Arial" w:cs="Arial" w:eastAsia="Arial" w:hAnsi="Arial"/>
                <w:sz w:val="14"/>
                <w:szCs w:val="14"/>
                <w:b w:val="1"/>
                <w:bCs w:val="1"/>
                <w:color w:val="1478A3"/>
              </w:rPr>
              <w:t>Actually Paid to</w:t>
            </w: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Summary</w:t>
            </w:r>
          </w:p>
        </w:tc>
        <w:tc>
          <w:tcPr>
            <w:tcW w:w="120" w:type="dxa"/>
            <w:vAlign w:val="bottom"/>
            <w:shd w:val="clear" w:color="auto" w:fill="E3EAEE"/>
          </w:tcPr>
          <w:p>
            <w:pPr>
              <w:spacing w:after="0"/>
              <w:rPr>
                <w:sz w:val="15"/>
                <w:szCs w:val="15"/>
                <w:color w:val="auto"/>
              </w:rPr>
            </w:pPr>
          </w:p>
        </w:tc>
        <w:tc>
          <w:tcPr>
            <w:tcW w:w="460" w:type="dxa"/>
            <w:vAlign w:val="bottom"/>
            <w:shd w:val="clear" w:color="auto" w:fill="E3EAEE"/>
          </w:tcPr>
          <w:p>
            <w:pPr>
              <w:spacing w:after="0"/>
              <w:rPr>
                <w:sz w:val="15"/>
                <w:szCs w:val="15"/>
                <w:color w:val="auto"/>
              </w:rPr>
            </w:pPr>
          </w:p>
        </w:tc>
        <w:tc>
          <w:tcPr>
            <w:tcW w:w="500" w:type="dxa"/>
            <w:vAlign w:val="bottom"/>
            <w:tcBorders>
              <w:right w:val="single" w:sz="8" w:color="E3EAEE"/>
            </w:tcBorders>
            <w:shd w:val="clear" w:color="auto" w:fill="E3EAEE"/>
          </w:tcPr>
          <w:p>
            <w:pPr>
              <w:spacing w:after="0"/>
              <w:rPr>
                <w:sz w:val="15"/>
                <w:szCs w:val="15"/>
                <w:color w:val="auto"/>
              </w:rPr>
            </w:pPr>
          </w:p>
        </w:tc>
        <w:tc>
          <w:tcPr>
            <w:tcW w:w="1280" w:type="dxa"/>
            <w:vAlign w:val="bottom"/>
            <w:gridSpan w:val="2"/>
            <w:shd w:val="clear" w:color="auto" w:fill="E3EAEE"/>
          </w:tcPr>
          <w:p>
            <w:pPr>
              <w:jc w:val="center"/>
              <w:ind w:right="60"/>
              <w:spacing w:after="0"/>
              <w:rPr>
                <w:sz w:val="20"/>
                <w:szCs w:val="20"/>
                <w:color w:val="auto"/>
              </w:rPr>
            </w:pPr>
            <w:r>
              <w:rPr>
                <w:rFonts w:ascii="Arial" w:cs="Arial" w:eastAsia="Arial" w:hAnsi="Arial"/>
                <w:sz w:val="14"/>
                <w:szCs w:val="14"/>
                <w:b w:val="1"/>
                <w:bCs w:val="1"/>
                <w:color w:val="1478A3"/>
              </w:rPr>
              <w:t>compensation</w:t>
            </w:r>
          </w:p>
        </w:tc>
        <w:tc>
          <w:tcPr>
            <w:tcW w:w="1100" w:type="dxa"/>
            <w:vAlign w:val="bottom"/>
            <w:gridSpan w:val="3"/>
            <w:shd w:val="clear" w:color="auto" w:fill="E3EAEE"/>
          </w:tcPr>
          <w:p>
            <w:pPr>
              <w:jc w:val="center"/>
              <w:spacing w:after="0"/>
              <w:rPr>
                <w:sz w:val="20"/>
                <w:szCs w:val="20"/>
                <w:color w:val="auto"/>
              </w:rPr>
            </w:pPr>
            <w:r>
              <w:rPr>
                <w:rFonts w:ascii="Arial" w:cs="Arial" w:eastAsia="Arial" w:hAnsi="Arial"/>
                <w:sz w:val="14"/>
                <w:szCs w:val="14"/>
                <w:b w:val="1"/>
                <w:bCs w:val="1"/>
                <w:color w:val="1478A3"/>
              </w:rPr>
              <w:t>compensation</w:t>
            </w:r>
          </w:p>
        </w:tc>
        <w:tc>
          <w:tcPr>
            <w:tcW w:w="120" w:type="dxa"/>
            <w:vAlign w:val="bottom"/>
            <w:shd w:val="clear" w:color="auto" w:fill="E3EAEE"/>
          </w:tcPr>
          <w:p>
            <w:pPr>
              <w:spacing w:after="0"/>
              <w:rPr>
                <w:sz w:val="15"/>
                <w:szCs w:val="15"/>
                <w:color w:val="auto"/>
              </w:rPr>
            </w:pPr>
          </w:p>
        </w:tc>
        <w:tc>
          <w:tcPr>
            <w:tcW w:w="1440" w:type="dxa"/>
            <w:vAlign w:val="bottom"/>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vesting date for</w:t>
            </w:r>
          </w:p>
        </w:tc>
        <w:tc>
          <w:tcPr>
            <w:tcW w:w="1440" w:type="dxa"/>
            <w:vAlign w:val="bottom"/>
            <w:gridSpan w:val="2"/>
            <w:shd w:val="clear" w:color="auto" w:fill="E3EAEE"/>
          </w:tcPr>
          <w:p>
            <w:pPr>
              <w:jc w:val="right"/>
              <w:ind w:right="80"/>
              <w:spacing w:after="0"/>
              <w:rPr>
                <w:sz w:val="20"/>
                <w:szCs w:val="20"/>
                <w:color w:val="auto"/>
              </w:rPr>
            </w:pPr>
            <w:r>
              <w:rPr>
                <w:rFonts w:ascii="Arial" w:cs="Arial" w:eastAsia="Arial" w:hAnsi="Arial"/>
                <w:sz w:val="14"/>
                <w:szCs w:val="14"/>
                <w:b w:val="1"/>
                <w:bCs w:val="1"/>
                <w:color w:val="1478A3"/>
              </w:rPr>
              <w:t>unvested prior year</w:t>
            </w:r>
          </w:p>
        </w:tc>
        <w:tc>
          <w:tcPr>
            <w:tcW w:w="1320" w:type="dxa"/>
            <w:vAlign w:val="bottom"/>
            <w:tcBorders>
              <w:right w:val="single" w:sz="8" w:color="E3EAEE"/>
            </w:tcBorders>
            <w:gridSpan w:val="2"/>
            <w:shd w:val="clear" w:color="auto" w:fill="E3EAEE"/>
          </w:tcPr>
          <w:p>
            <w:pPr>
              <w:jc w:val="center"/>
              <w:ind w:right="68"/>
              <w:spacing w:after="0"/>
              <w:rPr>
                <w:sz w:val="20"/>
                <w:szCs w:val="20"/>
                <w:color w:val="auto"/>
              </w:rPr>
            </w:pPr>
            <w:r>
              <w:rPr>
                <w:rFonts w:ascii="Arial" w:cs="Arial" w:eastAsia="Arial" w:hAnsi="Arial"/>
                <w:sz w:val="14"/>
                <w:szCs w:val="14"/>
                <w:b w:val="1"/>
                <w:bCs w:val="1"/>
                <w:color w:val="1478A3"/>
              </w:rPr>
              <w:t>year as of the</w:t>
            </w:r>
          </w:p>
        </w:tc>
        <w:tc>
          <w:tcPr>
            <w:tcW w:w="1200" w:type="dxa"/>
            <w:vAlign w:val="bottom"/>
            <w:gridSpan w:val="2"/>
            <w:shd w:val="clear" w:color="auto" w:fill="E3EAEE"/>
          </w:tcPr>
          <w:p>
            <w:pPr>
              <w:jc w:val="center"/>
              <w:ind w:right="40"/>
              <w:spacing w:after="0" w:line="176" w:lineRule="exact"/>
              <w:rPr>
                <w:sz w:val="20"/>
                <w:szCs w:val="20"/>
                <w:color w:val="auto"/>
              </w:rPr>
            </w:pPr>
            <w:r>
              <w:rPr>
                <w:rFonts w:ascii="Arial" w:cs="Arial" w:eastAsia="Arial" w:hAnsi="Arial"/>
                <w:sz w:val="14"/>
                <w:szCs w:val="14"/>
                <w:b w:val="1"/>
                <w:bCs w:val="1"/>
                <w:color w:val="1478A3"/>
                <w:w w:val="98"/>
              </w:rPr>
              <w:t>Non-PEO NEOs</w:t>
            </w:r>
            <w:r>
              <w:rPr>
                <w:rFonts w:ascii="Arial" w:cs="Arial" w:eastAsia="Arial" w:hAnsi="Arial"/>
                <w:sz w:val="18"/>
                <w:szCs w:val="18"/>
                <w:b w:val="1"/>
                <w:bCs w:val="1"/>
                <w:color w:val="1478A3"/>
                <w:w w:val="98"/>
                <w:vertAlign w:val="superscript"/>
              </w:rPr>
              <w:t>(8)</w:t>
            </w: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Compensation</w:t>
            </w:r>
          </w:p>
        </w:tc>
        <w:tc>
          <w:tcPr>
            <w:tcW w:w="120" w:type="dxa"/>
            <w:vAlign w:val="bottom"/>
            <w:shd w:val="clear" w:color="auto" w:fill="E3EAEE"/>
          </w:tcPr>
          <w:p>
            <w:pPr>
              <w:spacing w:after="0"/>
              <w:rPr>
                <w:sz w:val="15"/>
                <w:szCs w:val="15"/>
                <w:color w:val="auto"/>
              </w:rPr>
            </w:pPr>
          </w:p>
        </w:tc>
        <w:tc>
          <w:tcPr>
            <w:tcW w:w="460" w:type="dxa"/>
            <w:vAlign w:val="bottom"/>
            <w:shd w:val="clear" w:color="auto" w:fill="E3EAEE"/>
          </w:tcPr>
          <w:p>
            <w:pPr>
              <w:spacing w:after="0"/>
              <w:rPr>
                <w:sz w:val="15"/>
                <w:szCs w:val="15"/>
                <w:color w:val="auto"/>
              </w:rPr>
            </w:pPr>
          </w:p>
        </w:tc>
        <w:tc>
          <w:tcPr>
            <w:tcW w:w="500" w:type="dxa"/>
            <w:vAlign w:val="bottom"/>
            <w:tcBorders>
              <w:right w:val="single" w:sz="8" w:color="E3EAEE"/>
            </w:tcBorders>
            <w:shd w:val="clear" w:color="auto" w:fill="E3EAEE"/>
          </w:tcPr>
          <w:p>
            <w:pPr>
              <w:spacing w:after="0"/>
              <w:rPr>
                <w:sz w:val="15"/>
                <w:szCs w:val="15"/>
                <w:color w:val="auto"/>
              </w:rPr>
            </w:pPr>
          </w:p>
        </w:tc>
        <w:tc>
          <w:tcPr>
            <w:tcW w:w="1280" w:type="dxa"/>
            <w:vAlign w:val="bottom"/>
            <w:gridSpan w:val="2"/>
            <w:shd w:val="clear" w:color="auto" w:fill="E3EAEE"/>
          </w:tcPr>
          <w:p>
            <w:pPr>
              <w:jc w:val="center"/>
              <w:ind w:right="60"/>
              <w:spacing w:after="0"/>
              <w:rPr>
                <w:sz w:val="20"/>
                <w:szCs w:val="20"/>
                <w:color w:val="auto"/>
              </w:rPr>
            </w:pPr>
            <w:r>
              <w:rPr>
                <w:rFonts w:ascii="Arial" w:cs="Arial" w:eastAsia="Arial" w:hAnsi="Arial"/>
                <w:sz w:val="14"/>
                <w:szCs w:val="14"/>
                <w:b w:val="1"/>
                <w:bCs w:val="1"/>
                <w:color w:val="1478A3"/>
              </w:rPr>
              <w:t>granted within</w:t>
            </w:r>
          </w:p>
        </w:tc>
        <w:tc>
          <w:tcPr>
            <w:tcW w:w="100" w:type="dxa"/>
            <w:vAlign w:val="bottom"/>
            <w:shd w:val="clear" w:color="auto" w:fill="E3EAEE"/>
          </w:tcPr>
          <w:p>
            <w:pPr>
              <w:spacing w:after="0"/>
              <w:rPr>
                <w:sz w:val="15"/>
                <w:szCs w:val="15"/>
                <w:color w:val="auto"/>
              </w:rPr>
            </w:pPr>
          </w:p>
        </w:tc>
        <w:tc>
          <w:tcPr>
            <w:tcW w:w="1000" w:type="dxa"/>
            <w:vAlign w:val="bottom"/>
            <w:gridSpan w:val="2"/>
            <w:shd w:val="clear" w:color="auto" w:fill="E3EAEE"/>
          </w:tcPr>
          <w:p>
            <w:pPr>
              <w:jc w:val="center"/>
              <w:ind w:right="100"/>
              <w:spacing w:after="0"/>
              <w:rPr>
                <w:sz w:val="20"/>
                <w:szCs w:val="20"/>
                <w:color w:val="auto"/>
              </w:rPr>
            </w:pPr>
            <w:r>
              <w:rPr>
                <w:rFonts w:ascii="Arial" w:cs="Arial" w:eastAsia="Arial" w:hAnsi="Arial"/>
                <w:sz w:val="14"/>
                <w:szCs w:val="14"/>
                <w:b w:val="1"/>
                <w:bCs w:val="1"/>
                <w:color w:val="1478A3"/>
              </w:rPr>
              <w:t>granted and</w:t>
            </w:r>
          </w:p>
        </w:tc>
        <w:tc>
          <w:tcPr>
            <w:tcW w:w="1560" w:type="dxa"/>
            <w:vAlign w:val="bottom"/>
            <w:gridSpan w:val="3"/>
            <w:shd w:val="clear" w:color="auto" w:fill="E3EAEE"/>
          </w:tcPr>
          <w:p>
            <w:pPr>
              <w:jc w:val="center"/>
              <w:spacing w:after="0"/>
              <w:rPr>
                <w:sz w:val="20"/>
                <w:szCs w:val="20"/>
                <w:color w:val="auto"/>
              </w:rPr>
            </w:pPr>
            <w:r>
              <w:rPr>
                <w:rFonts w:ascii="Arial" w:cs="Arial" w:eastAsia="Arial" w:hAnsi="Arial"/>
                <w:sz w:val="14"/>
                <w:szCs w:val="14"/>
                <w:b w:val="1"/>
                <w:bCs w:val="1"/>
                <w:color w:val="1478A3"/>
              </w:rPr>
              <w:t>awards made in prior</w:t>
            </w:r>
          </w:p>
        </w:tc>
        <w:tc>
          <w:tcPr>
            <w:tcW w:w="1440" w:type="dxa"/>
            <w:vAlign w:val="bottom"/>
            <w:gridSpan w:val="2"/>
            <w:shd w:val="clear" w:color="auto" w:fill="E3EAEE"/>
          </w:tcPr>
          <w:p>
            <w:pPr>
              <w:jc w:val="right"/>
              <w:ind w:right="280"/>
              <w:spacing w:after="0"/>
              <w:rPr>
                <w:sz w:val="20"/>
                <w:szCs w:val="20"/>
                <w:color w:val="auto"/>
              </w:rPr>
            </w:pPr>
            <w:r>
              <w:rPr>
                <w:rFonts w:ascii="Arial" w:cs="Arial" w:eastAsia="Arial" w:hAnsi="Arial"/>
                <w:sz w:val="14"/>
                <w:szCs w:val="14"/>
                <w:b w:val="1"/>
                <w:bCs w:val="1"/>
                <w:color w:val="1478A3"/>
              </w:rPr>
              <w:t>equity awards</w:t>
            </w:r>
          </w:p>
        </w:tc>
        <w:tc>
          <w:tcPr>
            <w:tcW w:w="1320" w:type="dxa"/>
            <w:vAlign w:val="bottom"/>
            <w:tcBorders>
              <w:right w:val="single" w:sz="8" w:color="E3EAEE"/>
            </w:tcBorders>
            <w:gridSpan w:val="2"/>
            <w:shd w:val="clear" w:color="auto" w:fill="E3EAEE"/>
          </w:tcPr>
          <w:p>
            <w:pPr>
              <w:jc w:val="center"/>
              <w:ind w:right="48"/>
              <w:spacing w:after="0" w:line="176" w:lineRule="exact"/>
              <w:rPr>
                <w:sz w:val="20"/>
                <w:szCs w:val="20"/>
                <w:color w:val="auto"/>
              </w:rPr>
            </w:pPr>
            <w:r>
              <w:rPr>
                <w:rFonts w:ascii="Arial" w:cs="Arial" w:eastAsia="Arial" w:hAnsi="Arial"/>
                <w:sz w:val="14"/>
                <w:szCs w:val="14"/>
                <w:b w:val="1"/>
                <w:bCs w:val="1"/>
                <w:color w:val="1478A3"/>
                <w:w w:val="99"/>
              </w:rPr>
              <w:t>forfeiture date</w:t>
            </w:r>
            <w:r>
              <w:rPr>
                <w:rFonts w:ascii="Arial" w:cs="Arial" w:eastAsia="Arial" w:hAnsi="Arial"/>
                <w:sz w:val="18"/>
                <w:szCs w:val="18"/>
                <w:b w:val="1"/>
                <w:bCs w:val="1"/>
                <w:color w:val="1478A3"/>
                <w:w w:val="99"/>
                <w:vertAlign w:val="superscript"/>
              </w:rPr>
              <w:t>(8)</w:t>
            </w:r>
          </w:p>
        </w:tc>
        <w:tc>
          <w:tcPr>
            <w:tcW w:w="520" w:type="dxa"/>
            <w:vAlign w:val="bottom"/>
            <w:shd w:val="clear" w:color="auto" w:fill="E3EAEE"/>
          </w:tcPr>
          <w:p>
            <w:pPr>
              <w:spacing w:after="0"/>
              <w:rPr>
                <w:sz w:val="15"/>
                <w:szCs w:val="15"/>
                <w:color w:val="auto"/>
              </w:rPr>
            </w:pPr>
          </w:p>
        </w:tc>
        <w:tc>
          <w:tcPr>
            <w:tcW w:w="680" w:type="dxa"/>
            <w:vAlign w:val="bottom"/>
            <w:shd w:val="clear" w:color="auto" w:fill="E3EAE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20" w:type="dxa"/>
            <w:vAlign w:val="bottom"/>
          </w:tcPr>
          <w:p>
            <w:pPr>
              <w:spacing w:after="0"/>
              <w:rPr>
                <w:sz w:val="15"/>
                <w:szCs w:val="15"/>
                <w:color w:val="auto"/>
              </w:rPr>
            </w:pPr>
          </w:p>
        </w:tc>
        <w:tc>
          <w:tcPr>
            <w:tcW w:w="1280" w:type="dxa"/>
            <w:vAlign w:val="bottom"/>
            <w:shd w:val="clear" w:color="auto" w:fill="E3EAEE"/>
          </w:tcPr>
          <w:p>
            <w:pPr>
              <w:jc w:val="center"/>
              <w:spacing w:after="0"/>
              <w:rPr>
                <w:sz w:val="20"/>
                <w:szCs w:val="20"/>
                <w:color w:val="auto"/>
              </w:rPr>
            </w:pPr>
            <w:r>
              <w:rPr>
                <w:rFonts w:ascii="Arial" w:cs="Arial" w:eastAsia="Arial" w:hAnsi="Arial"/>
                <w:sz w:val="14"/>
                <w:szCs w:val="14"/>
                <w:b w:val="1"/>
                <w:bCs w:val="1"/>
                <w:color w:val="1478A3"/>
              </w:rPr>
              <w:t>Table (SCT)</w:t>
            </w:r>
          </w:p>
        </w:tc>
        <w:tc>
          <w:tcPr>
            <w:tcW w:w="120" w:type="dxa"/>
            <w:vAlign w:val="bottom"/>
            <w:shd w:val="clear" w:color="auto" w:fill="E3EAEE"/>
          </w:tcPr>
          <w:p>
            <w:pPr>
              <w:spacing w:after="0"/>
              <w:rPr>
                <w:sz w:val="15"/>
                <w:szCs w:val="15"/>
                <w:color w:val="auto"/>
              </w:rPr>
            </w:pPr>
          </w:p>
        </w:tc>
        <w:tc>
          <w:tcPr>
            <w:tcW w:w="460" w:type="dxa"/>
            <w:vAlign w:val="bottom"/>
            <w:shd w:val="clear" w:color="auto" w:fill="E3EAEE"/>
          </w:tcPr>
          <w:p>
            <w:pPr>
              <w:spacing w:after="0"/>
              <w:rPr>
                <w:sz w:val="15"/>
                <w:szCs w:val="15"/>
                <w:color w:val="auto"/>
              </w:rPr>
            </w:pPr>
          </w:p>
        </w:tc>
        <w:tc>
          <w:tcPr>
            <w:tcW w:w="500" w:type="dxa"/>
            <w:vAlign w:val="bottom"/>
            <w:tcBorders>
              <w:right w:val="single" w:sz="8" w:color="E3EAEE"/>
            </w:tcBorders>
            <w:shd w:val="clear" w:color="auto" w:fill="E3EAEE"/>
          </w:tcPr>
          <w:p>
            <w:pPr>
              <w:spacing w:after="0"/>
              <w:rPr>
                <w:sz w:val="15"/>
                <w:szCs w:val="15"/>
                <w:color w:val="auto"/>
              </w:rPr>
            </w:pPr>
          </w:p>
        </w:tc>
        <w:tc>
          <w:tcPr>
            <w:tcW w:w="1280" w:type="dxa"/>
            <w:vAlign w:val="bottom"/>
            <w:gridSpan w:val="2"/>
            <w:shd w:val="clear" w:color="auto" w:fill="E3EAEE"/>
          </w:tcPr>
          <w:p>
            <w:pPr>
              <w:jc w:val="right"/>
              <w:ind w:right="100"/>
              <w:spacing w:after="0" w:line="178" w:lineRule="exact"/>
              <w:rPr>
                <w:sz w:val="20"/>
                <w:szCs w:val="20"/>
                <w:color w:val="auto"/>
              </w:rPr>
            </w:pPr>
            <w:r>
              <w:rPr>
                <w:rFonts w:ascii="Arial" w:cs="Arial" w:eastAsia="Arial" w:hAnsi="Arial"/>
                <w:sz w:val="14"/>
                <w:szCs w:val="14"/>
                <w:b w:val="1"/>
                <w:bCs w:val="1"/>
                <w:color w:val="1478A3"/>
              </w:rPr>
              <w:t>applicable year</w:t>
            </w:r>
            <w:r>
              <w:rPr>
                <w:rFonts w:ascii="Arial" w:cs="Arial" w:eastAsia="Arial" w:hAnsi="Arial"/>
                <w:sz w:val="18"/>
                <w:szCs w:val="18"/>
                <w:b w:val="1"/>
                <w:bCs w:val="1"/>
                <w:color w:val="1478A3"/>
                <w:vertAlign w:val="superscript"/>
              </w:rPr>
              <w:t>(8)</w:t>
            </w:r>
          </w:p>
        </w:tc>
        <w:tc>
          <w:tcPr>
            <w:tcW w:w="1100" w:type="dxa"/>
            <w:vAlign w:val="bottom"/>
            <w:gridSpan w:val="3"/>
            <w:shd w:val="clear" w:color="auto" w:fill="E3EAEE"/>
          </w:tcPr>
          <w:p>
            <w:pPr>
              <w:jc w:val="center"/>
              <w:spacing w:after="0"/>
              <w:rPr>
                <w:sz w:val="20"/>
                <w:szCs w:val="20"/>
                <w:color w:val="auto"/>
              </w:rPr>
            </w:pPr>
            <w:r>
              <w:rPr>
                <w:rFonts w:ascii="Arial" w:cs="Arial" w:eastAsia="Arial" w:hAnsi="Arial"/>
                <w:sz w:val="14"/>
                <w:szCs w:val="14"/>
                <w:b w:val="1"/>
                <w:bCs w:val="1"/>
                <w:color w:val="1478A3"/>
              </w:rPr>
              <w:t>vested within</w:t>
            </w:r>
          </w:p>
        </w:tc>
        <w:tc>
          <w:tcPr>
            <w:tcW w:w="120" w:type="dxa"/>
            <w:vAlign w:val="bottom"/>
            <w:shd w:val="clear" w:color="auto" w:fill="E3EAEE"/>
          </w:tcPr>
          <w:p>
            <w:pPr>
              <w:spacing w:after="0"/>
              <w:rPr>
                <w:sz w:val="15"/>
                <w:szCs w:val="15"/>
                <w:color w:val="auto"/>
              </w:rPr>
            </w:pPr>
          </w:p>
        </w:tc>
        <w:tc>
          <w:tcPr>
            <w:tcW w:w="1440" w:type="dxa"/>
            <w:vAlign w:val="bottom"/>
            <w:gridSpan w:val="2"/>
            <w:shd w:val="clear" w:color="auto" w:fill="E3EAEE"/>
          </w:tcPr>
          <w:p>
            <w:pPr>
              <w:jc w:val="center"/>
              <w:ind w:right="120"/>
              <w:spacing w:after="0"/>
              <w:rPr>
                <w:sz w:val="20"/>
                <w:szCs w:val="20"/>
                <w:color w:val="auto"/>
              </w:rPr>
            </w:pPr>
            <w:r>
              <w:rPr>
                <w:rFonts w:ascii="Arial" w:cs="Arial" w:eastAsia="Arial" w:hAnsi="Arial"/>
                <w:sz w:val="14"/>
                <w:szCs w:val="14"/>
                <w:b w:val="1"/>
                <w:bCs w:val="1"/>
                <w:color w:val="1478A3"/>
              </w:rPr>
              <w:t>fiscal years that</w:t>
            </w:r>
          </w:p>
        </w:tc>
        <w:tc>
          <w:tcPr>
            <w:tcW w:w="320" w:type="dxa"/>
            <w:vAlign w:val="bottom"/>
            <w:shd w:val="clear" w:color="auto" w:fill="E3EAEE"/>
          </w:tcPr>
          <w:p>
            <w:pPr>
              <w:spacing w:after="0"/>
              <w:rPr>
                <w:sz w:val="15"/>
                <w:szCs w:val="15"/>
                <w:color w:val="auto"/>
              </w:rPr>
            </w:pPr>
          </w:p>
        </w:tc>
        <w:tc>
          <w:tcPr>
            <w:tcW w:w="1120" w:type="dxa"/>
            <w:vAlign w:val="bottom"/>
            <w:shd w:val="clear" w:color="auto" w:fill="E3EAEE"/>
          </w:tcPr>
          <w:p>
            <w:pPr>
              <w:spacing w:after="0"/>
              <w:rPr>
                <w:sz w:val="15"/>
                <w:szCs w:val="15"/>
                <w:color w:val="auto"/>
              </w:rPr>
            </w:pPr>
          </w:p>
        </w:tc>
        <w:tc>
          <w:tcPr>
            <w:tcW w:w="460" w:type="dxa"/>
            <w:vAlign w:val="bottom"/>
            <w:shd w:val="clear" w:color="auto" w:fill="E3EAEE"/>
          </w:tcPr>
          <w:p>
            <w:pPr>
              <w:spacing w:after="0"/>
              <w:rPr>
                <w:sz w:val="15"/>
                <w:szCs w:val="15"/>
                <w:color w:val="auto"/>
              </w:rPr>
            </w:pPr>
          </w:p>
        </w:tc>
        <w:tc>
          <w:tcPr>
            <w:tcW w:w="860" w:type="dxa"/>
            <w:vAlign w:val="bottom"/>
            <w:tcBorders>
              <w:right w:val="single" w:sz="8" w:color="E3EAEE"/>
            </w:tcBorders>
            <w:shd w:val="clear" w:color="auto" w:fill="E3EAEE"/>
          </w:tcPr>
          <w:p>
            <w:pPr>
              <w:spacing w:after="0"/>
              <w:rPr>
                <w:sz w:val="15"/>
                <w:szCs w:val="15"/>
                <w:color w:val="auto"/>
              </w:rPr>
            </w:pPr>
          </w:p>
        </w:tc>
        <w:tc>
          <w:tcPr>
            <w:tcW w:w="520" w:type="dxa"/>
            <w:vAlign w:val="bottom"/>
            <w:shd w:val="clear" w:color="auto" w:fill="E3EAEE"/>
          </w:tcPr>
          <w:p>
            <w:pPr>
              <w:spacing w:after="0"/>
              <w:rPr>
                <w:sz w:val="15"/>
                <w:szCs w:val="15"/>
                <w:color w:val="auto"/>
              </w:rPr>
            </w:pPr>
          </w:p>
        </w:tc>
        <w:tc>
          <w:tcPr>
            <w:tcW w:w="680" w:type="dxa"/>
            <w:vAlign w:val="bottom"/>
            <w:shd w:val="clear" w:color="auto" w:fill="E3EAE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280" w:type="dxa"/>
            <w:vAlign w:val="bottom"/>
            <w:shd w:val="clear" w:color="auto" w:fill="E3EAEE"/>
          </w:tcPr>
          <w:p>
            <w:pPr>
              <w:spacing w:after="0"/>
              <w:rPr>
                <w:sz w:val="14"/>
                <w:szCs w:val="14"/>
                <w:color w:val="auto"/>
              </w:rPr>
            </w:pPr>
          </w:p>
        </w:tc>
        <w:tc>
          <w:tcPr>
            <w:tcW w:w="120" w:type="dxa"/>
            <w:vAlign w:val="bottom"/>
            <w:shd w:val="clear" w:color="auto" w:fill="E3EAEE"/>
          </w:tcPr>
          <w:p>
            <w:pPr>
              <w:spacing w:after="0"/>
              <w:rPr>
                <w:sz w:val="14"/>
                <w:szCs w:val="14"/>
                <w:color w:val="auto"/>
              </w:rPr>
            </w:pPr>
          </w:p>
        </w:tc>
        <w:tc>
          <w:tcPr>
            <w:tcW w:w="460" w:type="dxa"/>
            <w:vAlign w:val="bottom"/>
            <w:shd w:val="clear" w:color="auto" w:fill="E3EAEE"/>
          </w:tcPr>
          <w:p>
            <w:pPr>
              <w:spacing w:after="0"/>
              <w:rPr>
                <w:sz w:val="14"/>
                <w:szCs w:val="14"/>
                <w:color w:val="auto"/>
              </w:rPr>
            </w:pPr>
          </w:p>
        </w:tc>
        <w:tc>
          <w:tcPr>
            <w:tcW w:w="500" w:type="dxa"/>
            <w:vAlign w:val="bottom"/>
            <w:tcBorders>
              <w:right w:val="single" w:sz="8" w:color="E3EAEE"/>
            </w:tcBorders>
            <w:shd w:val="clear" w:color="auto" w:fill="E3EAEE"/>
          </w:tcPr>
          <w:p>
            <w:pPr>
              <w:spacing w:after="0"/>
              <w:rPr>
                <w:sz w:val="14"/>
                <w:szCs w:val="14"/>
                <w:color w:val="auto"/>
              </w:rPr>
            </w:pPr>
          </w:p>
        </w:tc>
        <w:tc>
          <w:tcPr>
            <w:tcW w:w="340" w:type="dxa"/>
            <w:vAlign w:val="bottom"/>
            <w:shd w:val="clear" w:color="auto" w:fill="E3EAEE"/>
          </w:tcPr>
          <w:p>
            <w:pPr>
              <w:spacing w:after="0"/>
              <w:rPr>
                <w:sz w:val="14"/>
                <w:szCs w:val="14"/>
                <w:color w:val="auto"/>
              </w:rPr>
            </w:pPr>
          </w:p>
        </w:tc>
        <w:tc>
          <w:tcPr>
            <w:tcW w:w="940" w:type="dxa"/>
            <w:vAlign w:val="bottom"/>
            <w:shd w:val="clear" w:color="auto" w:fill="E3EAEE"/>
          </w:tcPr>
          <w:p>
            <w:pPr>
              <w:spacing w:after="0"/>
              <w:rPr>
                <w:sz w:val="14"/>
                <w:szCs w:val="14"/>
                <w:color w:val="auto"/>
              </w:rPr>
            </w:pPr>
          </w:p>
        </w:tc>
        <w:tc>
          <w:tcPr>
            <w:tcW w:w="100" w:type="dxa"/>
            <w:vAlign w:val="bottom"/>
            <w:shd w:val="clear" w:color="auto" w:fill="E3EAEE"/>
          </w:tcPr>
          <w:p>
            <w:pPr>
              <w:spacing w:after="0"/>
              <w:rPr>
                <w:sz w:val="14"/>
                <w:szCs w:val="14"/>
                <w:color w:val="auto"/>
              </w:rPr>
            </w:pPr>
          </w:p>
        </w:tc>
        <w:tc>
          <w:tcPr>
            <w:tcW w:w="1000" w:type="dxa"/>
            <w:vAlign w:val="bottom"/>
            <w:gridSpan w:val="2"/>
            <w:shd w:val="clear" w:color="auto" w:fill="E3EAEE"/>
          </w:tcPr>
          <w:p>
            <w:pPr>
              <w:jc w:val="center"/>
              <w:ind w:right="100"/>
              <w:spacing w:after="0"/>
              <w:rPr>
                <w:sz w:val="20"/>
                <w:szCs w:val="20"/>
                <w:color w:val="auto"/>
              </w:rPr>
            </w:pPr>
            <w:r>
              <w:rPr>
                <w:rFonts w:ascii="Arial" w:cs="Arial" w:eastAsia="Arial" w:hAnsi="Arial"/>
                <w:sz w:val="14"/>
                <w:szCs w:val="14"/>
                <w:b w:val="1"/>
                <w:bCs w:val="1"/>
                <w:color w:val="1478A3"/>
              </w:rPr>
              <w:t>applicable</w:t>
            </w:r>
          </w:p>
        </w:tc>
        <w:tc>
          <w:tcPr>
            <w:tcW w:w="120" w:type="dxa"/>
            <w:vAlign w:val="bottom"/>
            <w:shd w:val="clear" w:color="auto" w:fill="E3EAEE"/>
          </w:tcPr>
          <w:p>
            <w:pPr>
              <w:spacing w:after="0"/>
              <w:rPr>
                <w:sz w:val="14"/>
                <w:szCs w:val="14"/>
                <w:color w:val="auto"/>
              </w:rPr>
            </w:pPr>
          </w:p>
        </w:tc>
        <w:tc>
          <w:tcPr>
            <w:tcW w:w="1440" w:type="dxa"/>
            <w:vAlign w:val="bottom"/>
            <w:gridSpan w:val="2"/>
            <w:shd w:val="clear" w:color="auto" w:fill="E3EAEE"/>
          </w:tcPr>
          <w:p>
            <w:pPr>
              <w:jc w:val="center"/>
              <w:ind w:right="140"/>
              <w:spacing w:after="0"/>
              <w:rPr>
                <w:sz w:val="20"/>
                <w:szCs w:val="20"/>
                <w:color w:val="auto"/>
              </w:rPr>
            </w:pPr>
            <w:r>
              <w:rPr>
                <w:rFonts w:ascii="Arial" w:cs="Arial" w:eastAsia="Arial" w:hAnsi="Arial"/>
                <w:sz w:val="14"/>
                <w:szCs w:val="14"/>
                <w:b w:val="1"/>
                <w:bCs w:val="1"/>
                <w:color w:val="1478A3"/>
              </w:rPr>
              <w:t>vested during</w:t>
            </w:r>
          </w:p>
        </w:tc>
        <w:tc>
          <w:tcPr>
            <w:tcW w:w="320" w:type="dxa"/>
            <w:vAlign w:val="bottom"/>
            <w:shd w:val="clear" w:color="auto" w:fill="E3EAEE"/>
          </w:tcPr>
          <w:p>
            <w:pPr>
              <w:spacing w:after="0"/>
              <w:rPr>
                <w:sz w:val="14"/>
                <w:szCs w:val="14"/>
                <w:color w:val="auto"/>
              </w:rPr>
            </w:pPr>
          </w:p>
        </w:tc>
        <w:tc>
          <w:tcPr>
            <w:tcW w:w="1120" w:type="dxa"/>
            <w:vAlign w:val="bottom"/>
            <w:shd w:val="clear" w:color="auto" w:fill="E3EAEE"/>
          </w:tcPr>
          <w:p>
            <w:pPr>
              <w:spacing w:after="0"/>
              <w:rPr>
                <w:sz w:val="14"/>
                <w:szCs w:val="14"/>
                <w:color w:val="auto"/>
              </w:rPr>
            </w:pPr>
          </w:p>
        </w:tc>
        <w:tc>
          <w:tcPr>
            <w:tcW w:w="460" w:type="dxa"/>
            <w:vAlign w:val="bottom"/>
            <w:shd w:val="clear" w:color="auto" w:fill="E3EAEE"/>
          </w:tcPr>
          <w:p>
            <w:pPr>
              <w:spacing w:after="0"/>
              <w:rPr>
                <w:sz w:val="14"/>
                <w:szCs w:val="14"/>
                <w:color w:val="auto"/>
              </w:rPr>
            </w:pPr>
          </w:p>
        </w:tc>
        <w:tc>
          <w:tcPr>
            <w:tcW w:w="860" w:type="dxa"/>
            <w:vAlign w:val="bottom"/>
            <w:tcBorders>
              <w:right w:val="single" w:sz="8" w:color="E3EAEE"/>
            </w:tcBorders>
            <w:shd w:val="clear" w:color="auto" w:fill="E3EAEE"/>
          </w:tcPr>
          <w:p>
            <w:pPr>
              <w:spacing w:after="0"/>
              <w:rPr>
                <w:sz w:val="14"/>
                <w:szCs w:val="14"/>
                <w:color w:val="auto"/>
              </w:rPr>
            </w:pPr>
          </w:p>
        </w:tc>
        <w:tc>
          <w:tcPr>
            <w:tcW w:w="520" w:type="dxa"/>
            <w:vAlign w:val="bottom"/>
            <w:shd w:val="clear" w:color="auto" w:fill="E3EAEE"/>
          </w:tcPr>
          <w:p>
            <w:pPr>
              <w:spacing w:after="0"/>
              <w:rPr>
                <w:sz w:val="14"/>
                <w:szCs w:val="14"/>
                <w:color w:val="auto"/>
              </w:rPr>
            </w:pPr>
          </w:p>
        </w:tc>
        <w:tc>
          <w:tcPr>
            <w:tcW w:w="680" w:type="dxa"/>
            <w:vAlign w:val="bottom"/>
            <w:shd w:val="clear" w:color="auto" w:fill="E3EAE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1478A3"/>
              </w:rPr>
              <w:t>Year</w:t>
            </w:r>
          </w:p>
        </w:tc>
        <w:tc>
          <w:tcPr>
            <w:tcW w:w="1280" w:type="dxa"/>
            <w:vAlign w:val="bottom"/>
            <w:shd w:val="clear" w:color="auto" w:fill="E3EAEE"/>
          </w:tcPr>
          <w:p>
            <w:pPr>
              <w:spacing w:after="0"/>
              <w:rPr>
                <w:sz w:val="17"/>
                <w:szCs w:val="17"/>
                <w:color w:val="auto"/>
              </w:rPr>
            </w:pPr>
          </w:p>
        </w:tc>
        <w:tc>
          <w:tcPr>
            <w:tcW w:w="120" w:type="dxa"/>
            <w:vAlign w:val="bottom"/>
            <w:shd w:val="clear" w:color="auto" w:fill="E3EAEE"/>
          </w:tcPr>
          <w:p>
            <w:pPr>
              <w:spacing w:after="0"/>
              <w:rPr>
                <w:sz w:val="17"/>
                <w:szCs w:val="17"/>
                <w:color w:val="auto"/>
              </w:rPr>
            </w:pPr>
          </w:p>
        </w:tc>
        <w:tc>
          <w:tcPr>
            <w:tcW w:w="460" w:type="dxa"/>
            <w:vAlign w:val="bottom"/>
            <w:shd w:val="clear" w:color="auto" w:fill="E3EAEE"/>
          </w:tcPr>
          <w:p>
            <w:pPr>
              <w:spacing w:after="0"/>
              <w:rPr>
                <w:sz w:val="17"/>
                <w:szCs w:val="17"/>
                <w:color w:val="auto"/>
              </w:rPr>
            </w:pPr>
          </w:p>
        </w:tc>
        <w:tc>
          <w:tcPr>
            <w:tcW w:w="500" w:type="dxa"/>
            <w:vAlign w:val="bottom"/>
            <w:tcBorders>
              <w:right w:val="single" w:sz="8" w:color="E3EAEE"/>
            </w:tcBorders>
            <w:shd w:val="clear" w:color="auto" w:fill="E3EAEE"/>
          </w:tcPr>
          <w:p>
            <w:pPr>
              <w:spacing w:after="0"/>
              <w:rPr>
                <w:sz w:val="17"/>
                <w:szCs w:val="17"/>
                <w:color w:val="auto"/>
              </w:rPr>
            </w:pPr>
          </w:p>
        </w:tc>
        <w:tc>
          <w:tcPr>
            <w:tcW w:w="340" w:type="dxa"/>
            <w:vAlign w:val="bottom"/>
            <w:shd w:val="clear" w:color="auto" w:fill="E3EAEE"/>
          </w:tcPr>
          <w:p>
            <w:pPr>
              <w:spacing w:after="0"/>
              <w:rPr>
                <w:sz w:val="17"/>
                <w:szCs w:val="17"/>
                <w:color w:val="auto"/>
              </w:rPr>
            </w:pPr>
          </w:p>
        </w:tc>
        <w:tc>
          <w:tcPr>
            <w:tcW w:w="940" w:type="dxa"/>
            <w:vAlign w:val="bottom"/>
            <w:shd w:val="clear" w:color="auto" w:fill="E3EAEE"/>
          </w:tcPr>
          <w:p>
            <w:pPr>
              <w:spacing w:after="0"/>
              <w:rPr>
                <w:sz w:val="17"/>
                <w:szCs w:val="17"/>
                <w:color w:val="auto"/>
              </w:rPr>
            </w:pPr>
          </w:p>
        </w:tc>
        <w:tc>
          <w:tcPr>
            <w:tcW w:w="100" w:type="dxa"/>
            <w:vAlign w:val="bottom"/>
            <w:shd w:val="clear" w:color="auto" w:fill="E3EAEE"/>
          </w:tcPr>
          <w:p>
            <w:pPr>
              <w:spacing w:after="0"/>
              <w:rPr>
                <w:sz w:val="17"/>
                <w:szCs w:val="17"/>
                <w:color w:val="auto"/>
              </w:rPr>
            </w:pPr>
          </w:p>
        </w:tc>
        <w:tc>
          <w:tcPr>
            <w:tcW w:w="1000" w:type="dxa"/>
            <w:vAlign w:val="bottom"/>
            <w:gridSpan w:val="2"/>
            <w:shd w:val="clear" w:color="auto" w:fill="E3EAEE"/>
          </w:tcPr>
          <w:p>
            <w:pPr>
              <w:jc w:val="center"/>
              <w:ind w:right="100"/>
              <w:spacing w:after="0"/>
              <w:rPr>
                <w:sz w:val="20"/>
                <w:szCs w:val="20"/>
                <w:color w:val="auto"/>
              </w:rPr>
            </w:pPr>
            <w:r>
              <w:rPr>
                <w:rFonts w:ascii="Arial" w:cs="Arial" w:eastAsia="Arial" w:hAnsi="Arial"/>
                <w:sz w:val="14"/>
                <w:szCs w:val="14"/>
                <w:b w:val="1"/>
                <w:bCs w:val="1"/>
                <w:color w:val="1478A3"/>
              </w:rPr>
              <w:t>year</w:t>
            </w:r>
            <w:r>
              <w:rPr>
                <w:rFonts w:ascii="Arial" w:cs="Arial" w:eastAsia="Arial" w:hAnsi="Arial"/>
                <w:sz w:val="9"/>
                <w:szCs w:val="9"/>
                <w:b w:val="1"/>
                <w:bCs w:val="1"/>
                <w:color w:val="1478A3"/>
              </w:rPr>
              <w:t>(8)</w:t>
            </w:r>
          </w:p>
        </w:tc>
        <w:tc>
          <w:tcPr>
            <w:tcW w:w="1560" w:type="dxa"/>
            <w:vAlign w:val="bottom"/>
            <w:gridSpan w:val="3"/>
            <w:shd w:val="clear" w:color="auto" w:fill="E3EAEE"/>
          </w:tcPr>
          <w:p>
            <w:pPr>
              <w:jc w:val="center"/>
              <w:spacing w:after="0"/>
              <w:rPr>
                <w:sz w:val="20"/>
                <w:szCs w:val="20"/>
                <w:color w:val="auto"/>
              </w:rPr>
            </w:pPr>
            <w:r>
              <w:rPr>
                <w:rFonts w:ascii="Arial" w:cs="Arial" w:eastAsia="Arial" w:hAnsi="Arial"/>
                <w:sz w:val="14"/>
                <w:szCs w:val="14"/>
                <w:b w:val="1"/>
                <w:bCs w:val="1"/>
                <w:color w:val="1478A3"/>
              </w:rPr>
              <w:t>applicable fiscal year</w:t>
            </w:r>
          </w:p>
        </w:tc>
        <w:tc>
          <w:tcPr>
            <w:tcW w:w="320" w:type="dxa"/>
            <w:vAlign w:val="bottom"/>
            <w:shd w:val="clear" w:color="auto" w:fill="E3EAEE"/>
          </w:tcPr>
          <w:p>
            <w:pPr>
              <w:spacing w:after="0"/>
              <w:rPr>
                <w:sz w:val="17"/>
                <w:szCs w:val="17"/>
                <w:color w:val="auto"/>
              </w:rPr>
            </w:pPr>
          </w:p>
        </w:tc>
        <w:tc>
          <w:tcPr>
            <w:tcW w:w="1120" w:type="dxa"/>
            <w:vAlign w:val="bottom"/>
            <w:shd w:val="clear" w:color="auto" w:fill="E3EAEE"/>
          </w:tcPr>
          <w:p>
            <w:pPr>
              <w:spacing w:after="0"/>
              <w:rPr>
                <w:sz w:val="17"/>
                <w:szCs w:val="17"/>
                <w:color w:val="auto"/>
              </w:rPr>
            </w:pPr>
          </w:p>
        </w:tc>
        <w:tc>
          <w:tcPr>
            <w:tcW w:w="460" w:type="dxa"/>
            <w:vAlign w:val="bottom"/>
            <w:shd w:val="clear" w:color="auto" w:fill="E3EAEE"/>
          </w:tcPr>
          <w:p>
            <w:pPr>
              <w:spacing w:after="0"/>
              <w:rPr>
                <w:sz w:val="17"/>
                <w:szCs w:val="17"/>
                <w:color w:val="auto"/>
              </w:rPr>
            </w:pPr>
          </w:p>
        </w:tc>
        <w:tc>
          <w:tcPr>
            <w:tcW w:w="860" w:type="dxa"/>
            <w:vAlign w:val="bottom"/>
            <w:tcBorders>
              <w:right w:val="single" w:sz="8" w:color="E3EAEE"/>
            </w:tcBorders>
            <w:shd w:val="clear" w:color="auto" w:fill="E3EAEE"/>
          </w:tcPr>
          <w:p>
            <w:pPr>
              <w:spacing w:after="0"/>
              <w:rPr>
                <w:sz w:val="17"/>
                <w:szCs w:val="17"/>
                <w:color w:val="auto"/>
              </w:rPr>
            </w:pPr>
          </w:p>
        </w:tc>
        <w:tc>
          <w:tcPr>
            <w:tcW w:w="520" w:type="dxa"/>
            <w:vAlign w:val="bottom"/>
            <w:shd w:val="clear" w:color="auto" w:fill="E3EAEE"/>
          </w:tcPr>
          <w:p>
            <w:pPr>
              <w:spacing w:after="0"/>
              <w:rPr>
                <w:sz w:val="17"/>
                <w:szCs w:val="17"/>
                <w:color w:val="auto"/>
              </w:rPr>
            </w:pPr>
          </w:p>
        </w:tc>
        <w:tc>
          <w:tcPr>
            <w:tcW w:w="680" w:type="dxa"/>
            <w:vAlign w:val="bottom"/>
            <w:shd w:val="clear" w:color="auto" w:fill="E3EAEE"/>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720" w:type="dxa"/>
            <w:vAlign w:val="bottom"/>
            <w:tcBorders>
              <w:bottom w:val="single" w:sz="8" w:color="007AA7"/>
            </w:tcBorders>
          </w:tcPr>
          <w:p>
            <w:pPr>
              <w:spacing w:after="0"/>
              <w:rPr>
                <w:sz w:val="6"/>
                <w:szCs w:val="6"/>
                <w:color w:val="auto"/>
              </w:rPr>
            </w:pPr>
          </w:p>
        </w:tc>
        <w:tc>
          <w:tcPr>
            <w:tcW w:w="1280" w:type="dxa"/>
            <w:vAlign w:val="bottom"/>
            <w:tcBorders>
              <w:bottom w:val="single" w:sz="8" w:color="007AA7"/>
            </w:tcBorders>
            <w:shd w:val="clear" w:color="auto" w:fill="E3EAEE"/>
          </w:tcPr>
          <w:p>
            <w:pPr>
              <w:spacing w:after="0"/>
              <w:rPr>
                <w:sz w:val="6"/>
                <w:szCs w:val="6"/>
                <w:color w:val="auto"/>
              </w:rPr>
            </w:pPr>
          </w:p>
        </w:tc>
        <w:tc>
          <w:tcPr>
            <w:tcW w:w="120" w:type="dxa"/>
            <w:vAlign w:val="bottom"/>
            <w:tcBorders>
              <w:bottom w:val="single" w:sz="8" w:color="007AA7"/>
            </w:tcBorders>
            <w:shd w:val="clear" w:color="auto" w:fill="E3EAEE"/>
          </w:tcPr>
          <w:p>
            <w:pPr>
              <w:spacing w:after="0"/>
              <w:rPr>
                <w:sz w:val="6"/>
                <w:szCs w:val="6"/>
                <w:color w:val="auto"/>
              </w:rPr>
            </w:pPr>
          </w:p>
        </w:tc>
        <w:tc>
          <w:tcPr>
            <w:tcW w:w="460" w:type="dxa"/>
            <w:vAlign w:val="bottom"/>
            <w:tcBorders>
              <w:bottom w:val="single" w:sz="8" w:color="007AA7"/>
            </w:tcBorders>
            <w:shd w:val="clear" w:color="auto" w:fill="E3EAEE"/>
          </w:tcPr>
          <w:p>
            <w:pPr>
              <w:spacing w:after="0"/>
              <w:rPr>
                <w:sz w:val="6"/>
                <w:szCs w:val="6"/>
                <w:color w:val="auto"/>
              </w:rPr>
            </w:pPr>
          </w:p>
        </w:tc>
        <w:tc>
          <w:tcPr>
            <w:tcW w:w="500" w:type="dxa"/>
            <w:vAlign w:val="bottom"/>
            <w:tcBorders>
              <w:bottom w:val="single" w:sz="8" w:color="007AA7"/>
              <w:right w:val="single" w:sz="8" w:color="E3EAEE"/>
            </w:tcBorders>
            <w:shd w:val="clear" w:color="auto" w:fill="E3EAEE"/>
          </w:tcPr>
          <w:p>
            <w:pPr>
              <w:spacing w:after="0"/>
              <w:rPr>
                <w:sz w:val="6"/>
                <w:szCs w:val="6"/>
                <w:color w:val="auto"/>
              </w:rPr>
            </w:pPr>
          </w:p>
        </w:tc>
        <w:tc>
          <w:tcPr>
            <w:tcW w:w="340" w:type="dxa"/>
            <w:vAlign w:val="bottom"/>
            <w:tcBorders>
              <w:bottom w:val="single" w:sz="8" w:color="007AA7"/>
            </w:tcBorders>
            <w:shd w:val="clear" w:color="auto" w:fill="E3EAEE"/>
          </w:tcPr>
          <w:p>
            <w:pPr>
              <w:spacing w:after="0"/>
              <w:rPr>
                <w:sz w:val="6"/>
                <w:szCs w:val="6"/>
                <w:color w:val="auto"/>
              </w:rPr>
            </w:pPr>
          </w:p>
        </w:tc>
        <w:tc>
          <w:tcPr>
            <w:tcW w:w="940" w:type="dxa"/>
            <w:vAlign w:val="bottom"/>
            <w:tcBorders>
              <w:bottom w:val="single" w:sz="8" w:color="007AA7"/>
            </w:tcBorders>
            <w:shd w:val="clear" w:color="auto" w:fill="E3EAEE"/>
          </w:tcPr>
          <w:p>
            <w:pPr>
              <w:spacing w:after="0"/>
              <w:rPr>
                <w:sz w:val="6"/>
                <w:szCs w:val="6"/>
                <w:color w:val="auto"/>
              </w:rPr>
            </w:pPr>
          </w:p>
        </w:tc>
        <w:tc>
          <w:tcPr>
            <w:tcW w:w="100" w:type="dxa"/>
            <w:vAlign w:val="bottom"/>
            <w:tcBorders>
              <w:bottom w:val="single" w:sz="8" w:color="007AA7"/>
            </w:tcBorders>
            <w:shd w:val="clear" w:color="auto" w:fill="E3EAEE"/>
          </w:tcPr>
          <w:p>
            <w:pPr>
              <w:spacing w:after="0"/>
              <w:rPr>
                <w:sz w:val="6"/>
                <w:szCs w:val="6"/>
                <w:color w:val="auto"/>
              </w:rPr>
            </w:pPr>
          </w:p>
        </w:tc>
        <w:tc>
          <w:tcPr>
            <w:tcW w:w="340" w:type="dxa"/>
            <w:vAlign w:val="bottom"/>
            <w:tcBorders>
              <w:bottom w:val="single" w:sz="8" w:color="007AA7"/>
            </w:tcBorders>
            <w:shd w:val="clear" w:color="auto" w:fill="E3EAEE"/>
          </w:tcPr>
          <w:p>
            <w:pPr>
              <w:spacing w:after="0"/>
              <w:rPr>
                <w:sz w:val="6"/>
                <w:szCs w:val="6"/>
                <w:color w:val="auto"/>
              </w:rPr>
            </w:pPr>
          </w:p>
        </w:tc>
        <w:tc>
          <w:tcPr>
            <w:tcW w:w="660" w:type="dxa"/>
            <w:vAlign w:val="bottom"/>
            <w:tcBorders>
              <w:bottom w:val="single" w:sz="8" w:color="007AA7"/>
            </w:tcBorders>
            <w:shd w:val="clear" w:color="auto" w:fill="E3EAEE"/>
          </w:tcPr>
          <w:p>
            <w:pPr>
              <w:spacing w:after="0"/>
              <w:rPr>
                <w:sz w:val="6"/>
                <w:szCs w:val="6"/>
                <w:color w:val="auto"/>
              </w:rPr>
            </w:pPr>
          </w:p>
        </w:tc>
        <w:tc>
          <w:tcPr>
            <w:tcW w:w="120" w:type="dxa"/>
            <w:vAlign w:val="bottom"/>
            <w:tcBorders>
              <w:bottom w:val="single" w:sz="8" w:color="007AA7"/>
            </w:tcBorders>
            <w:shd w:val="clear" w:color="auto" w:fill="E3EAEE"/>
          </w:tcPr>
          <w:p>
            <w:pPr>
              <w:spacing w:after="0"/>
              <w:rPr>
                <w:sz w:val="6"/>
                <w:szCs w:val="6"/>
                <w:color w:val="auto"/>
              </w:rPr>
            </w:pPr>
          </w:p>
        </w:tc>
        <w:tc>
          <w:tcPr>
            <w:tcW w:w="320" w:type="dxa"/>
            <w:vAlign w:val="bottom"/>
            <w:tcBorders>
              <w:bottom w:val="single" w:sz="8" w:color="007AA7"/>
            </w:tcBorders>
            <w:shd w:val="clear" w:color="auto" w:fill="E3EAEE"/>
          </w:tcPr>
          <w:p>
            <w:pPr>
              <w:spacing w:after="0"/>
              <w:rPr>
                <w:sz w:val="6"/>
                <w:szCs w:val="6"/>
                <w:color w:val="auto"/>
              </w:rPr>
            </w:pPr>
          </w:p>
        </w:tc>
        <w:tc>
          <w:tcPr>
            <w:tcW w:w="1120" w:type="dxa"/>
            <w:vAlign w:val="bottom"/>
            <w:tcBorders>
              <w:bottom w:val="single" w:sz="8" w:color="007AA7"/>
            </w:tcBorders>
            <w:shd w:val="clear" w:color="auto" w:fill="E3EAEE"/>
          </w:tcPr>
          <w:p>
            <w:pPr>
              <w:spacing w:after="0"/>
              <w:rPr>
                <w:sz w:val="6"/>
                <w:szCs w:val="6"/>
                <w:color w:val="auto"/>
              </w:rPr>
            </w:pPr>
          </w:p>
        </w:tc>
        <w:tc>
          <w:tcPr>
            <w:tcW w:w="320" w:type="dxa"/>
            <w:vAlign w:val="bottom"/>
            <w:tcBorders>
              <w:bottom w:val="single" w:sz="8" w:color="007AA7"/>
            </w:tcBorders>
            <w:shd w:val="clear" w:color="auto" w:fill="E3EAEE"/>
          </w:tcPr>
          <w:p>
            <w:pPr>
              <w:spacing w:after="0"/>
              <w:rPr>
                <w:sz w:val="6"/>
                <w:szCs w:val="6"/>
                <w:color w:val="auto"/>
              </w:rPr>
            </w:pPr>
          </w:p>
        </w:tc>
        <w:tc>
          <w:tcPr>
            <w:tcW w:w="1120" w:type="dxa"/>
            <w:vAlign w:val="bottom"/>
            <w:tcBorders>
              <w:bottom w:val="single" w:sz="8" w:color="007AA7"/>
            </w:tcBorders>
            <w:shd w:val="clear" w:color="auto" w:fill="E3EAEE"/>
          </w:tcPr>
          <w:p>
            <w:pPr>
              <w:spacing w:after="0"/>
              <w:rPr>
                <w:sz w:val="6"/>
                <w:szCs w:val="6"/>
                <w:color w:val="auto"/>
              </w:rPr>
            </w:pPr>
          </w:p>
        </w:tc>
        <w:tc>
          <w:tcPr>
            <w:tcW w:w="460" w:type="dxa"/>
            <w:vAlign w:val="bottom"/>
            <w:tcBorders>
              <w:bottom w:val="single" w:sz="8" w:color="007AA7"/>
            </w:tcBorders>
            <w:shd w:val="clear" w:color="auto" w:fill="E3EAEE"/>
          </w:tcPr>
          <w:p>
            <w:pPr>
              <w:spacing w:after="0"/>
              <w:rPr>
                <w:sz w:val="6"/>
                <w:szCs w:val="6"/>
                <w:color w:val="auto"/>
              </w:rPr>
            </w:pPr>
          </w:p>
        </w:tc>
        <w:tc>
          <w:tcPr>
            <w:tcW w:w="860" w:type="dxa"/>
            <w:vAlign w:val="bottom"/>
            <w:tcBorders>
              <w:bottom w:val="single" w:sz="8" w:color="007AA7"/>
              <w:right w:val="single" w:sz="8" w:color="E3EAEE"/>
            </w:tcBorders>
            <w:shd w:val="clear" w:color="auto" w:fill="E3EAEE"/>
          </w:tcPr>
          <w:p>
            <w:pPr>
              <w:spacing w:after="0"/>
              <w:rPr>
                <w:sz w:val="6"/>
                <w:szCs w:val="6"/>
                <w:color w:val="auto"/>
              </w:rPr>
            </w:pPr>
          </w:p>
        </w:tc>
        <w:tc>
          <w:tcPr>
            <w:tcW w:w="520" w:type="dxa"/>
            <w:vAlign w:val="bottom"/>
            <w:tcBorders>
              <w:bottom w:val="single" w:sz="8" w:color="007AA7"/>
            </w:tcBorders>
            <w:shd w:val="clear" w:color="auto" w:fill="E3EAEE"/>
          </w:tcPr>
          <w:p>
            <w:pPr>
              <w:spacing w:after="0"/>
              <w:rPr>
                <w:sz w:val="6"/>
                <w:szCs w:val="6"/>
                <w:color w:val="auto"/>
              </w:rPr>
            </w:pPr>
          </w:p>
        </w:tc>
        <w:tc>
          <w:tcPr>
            <w:tcW w:w="680" w:type="dxa"/>
            <w:vAlign w:val="bottom"/>
            <w:tcBorders>
              <w:bottom w:val="single" w:sz="8" w:color="007AA7"/>
            </w:tcBorders>
            <w:shd w:val="clear" w:color="auto" w:fill="E3EAE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3E474E"/>
              </w:rPr>
              <w:t>2025</w:t>
            </w:r>
          </w:p>
        </w:tc>
        <w:tc>
          <w:tcPr>
            <w:tcW w:w="1280" w:type="dxa"/>
            <w:vAlign w:val="bottom"/>
          </w:tcPr>
          <w:p>
            <w:pPr>
              <w:jc w:val="right"/>
              <w:spacing w:after="0"/>
              <w:rPr>
                <w:sz w:val="20"/>
                <w:szCs w:val="20"/>
                <w:color w:val="auto"/>
              </w:rPr>
            </w:pPr>
            <w:r>
              <w:rPr>
                <w:rFonts w:ascii="Arial" w:cs="Arial" w:eastAsia="Arial" w:hAnsi="Arial"/>
                <w:sz w:val="14"/>
                <w:szCs w:val="14"/>
                <w:color w:val="3E474E"/>
              </w:rPr>
              <w:t>2,226,443</w:t>
            </w:r>
          </w:p>
        </w:tc>
        <w:tc>
          <w:tcPr>
            <w:tcW w:w="1080" w:type="dxa"/>
            <w:vAlign w:val="bottom"/>
            <w:gridSpan w:val="3"/>
          </w:tcPr>
          <w:p>
            <w:pPr>
              <w:jc w:val="right"/>
              <w:ind w:right="80"/>
              <w:spacing w:after="0"/>
              <w:rPr>
                <w:sz w:val="20"/>
                <w:szCs w:val="20"/>
                <w:color w:val="auto"/>
              </w:rPr>
            </w:pPr>
            <w:r>
              <w:rPr>
                <w:rFonts w:ascii="Arial" w:cs="Arial" w:eastAsia="Arial" w:hAnsi="Arial"/>
                <w:sz w:val="14"/>
                <w:szCs w:val="14"/>
                <w:color w:val="3E474E"/>
              </w:rPr>
              <w:t>(1,050,689)</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3E474E"/>
              </w:rPr>
              <w:t>610,131</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3E474E"/>
              </w:rPr>
              <w:t>191,227</w:t>
            </w:r>
          </w:p>
        </w:tc>
        <w:tc>
          <w:tcPr>
            <w:tcW w:w="1560" w:type="dxa"/>
            <w:vAlign w:val="bottom"/>
            <w:gridSpan w:val="3"/>
          </w:tcPr>
          <w:p>
            <w:pPr>
              <w:jc w:val="right"/>
              <w:ind w:right="40"/>
              <w:spacing w:after="0"/>
              <w:rPr>
                <w:sz w:val="20"/>
                <w:szCs w:val="20"/>
                <w:color w:val="auto"/>
              </w:rPr>
            </w:pPr>
            <w:r>
              <w:rPr>
                <w:rFonts w:ascii="Arial" w:cs="Arial" w:eastAsia="Arial" w:hAnsi="Arial"/>
                <w:sz w:val="14"/>
                <w:szCs w:val="14"/>
                <w:color w:val="3E474E"/>
              </w:rPr>
              <w:t>(31,445)</w:t>
            </w: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3E474E"/>
              </w:rPr>
              <w:t>(22,896)</w:t>
            </w:r>
          </w:p>
        </w:tc>
        <w:tc>
          <w:tcPr>
            <w:tcW w:w="460" w:type="dxa"/>
            <w:vAlign w:val="bottom"/>
          </w:tcPr>
          <w:p>
            <w:pPr>
              <w:spacing w:after="0"/>
              <w:rPr>
                <w:sz w:val="19"/>
                <w:szCs w:val="19"/>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3E474E"/>
              </w:rPr>
              <w:t>—</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3E474E"/>
              </w:rPr>
              <w:t>1,922,771</w:t>
            </w:r>
          </w:p>
        </w:tc>
        <w:tc>
          <w:tcPr>
            <w:tcW w:w="0" w:type="dxa"/>
            <w:vAlign w:val="bottom"/>
          </w:tcPr>
          <w:p>
            <w:pPr>
              <w:spacing w:after="0"/>
              <w:rPr>
                <w:sz w:val="1"/>
                <w:szCs w:val="1"/>
                <w:color w:val="auto"/>
              </w:rPr>
            </w:pPr>
          </w:p>
        </w:tc>
      </w:tr>
      <w:tr>
        <w:trPr>
          <w:trHeight w:val="49"/>
        </w:trPr>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20" w:type="dxa"/>
            <w:vAlign w:val="bottom"/>
            <w:tcBorders>
              <w:bottom w:val="single" w:sz="8" w:color="E3EAEE"/>
            </w:tcBorders>
            <w:shd w:val="clear" w:color="auto" w:fill="E3EAEE"/>
          </w:tcPr>
          <w:p>
            <w:pPr>
              <w:jc w:val="right"/>
              <w:ind w:right="88"/>
              <w:spacing w:after="0"/>
              <w:rPr>
                <w:sz w:val="20"/>
                <w:szCs w:val="20"/>
                <w:color w:val="auto"/>
              </w:rPr>
            </w:pPr>
            <w:r>
              <w:rPr>
                <w:rFonts w:ascii="Arial" w:cs="Arial" w:eastAsia="Arial" w:hAnsi="Arial"/>
                <w:sz w:val="14"/>
                <w:szCs w:val="14"/>
                <w:b w:val="1"/>
                <w:bCs w:val="1"/>
                <w:color w:val="3E474E"/>
              </w:rPr>
              <w:t>2024</w:t>
            </w:r>
          </w:p>
        </w:tc>
        <w:tc>
          <w:tcPr>
            <w:tcW w:w="128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4"/>
                <w:szCs w:val="14"/>
                <w:color w:val="3E474E"/>
              </w:rPr>
              <w:t>1,280,444</w:t>
            </w:r>
          </w:p>
        </w:tc>
        <w:tc>
          <w:tcPr>
            <w:tcW w:w="1080" w:type="dxa"/>
            <w:vAlign w:val="bottom"/>
            <w:tcBorders>
              <w:bottom w:val="single" w:sz="8" w:color="E3EAEE"/>
              <w:right w:val="single" w:sz="8" w:color="E3EAEE"/>
            </w:tcBorders>
            <w:gridSpan w:val="3"/>
            <w:shd w:val="clear" w:color="auto" w:fill="E3EAEE"/>
          </w:tcPr>
          <w:p>
            <w:pPr>
              <w:jc w:val="right"/>
              <w:ind w:right="80"/>
              <w:spacing w:after="0"/>
              <w:rPr>
                <w:sz w:val="20"/>
                <w:szCs w:val="20"/>
                <w:color w:val="auto"/>
              </w:rPr>
            </w:pPr>
            <w:r>
              <w:rPr>
                <w:rFonts w:ascii="Arial" w:cs="Arial" w:eastAsia="Arial" w:hAnsi="Arial"/>
                <w:sz w:val="14"/>
                <w:szCs w:val="14"/>
                <w:color w:val="3E474E"/>
              </w:rPr>
              <w:t>(366,283)</w:t>
            </w:r>
          </w:p>
        </w:tc>
        <w:tc>
          <w:tcPr>
            <w:tcW w:w="1280" w:type="dxa"/>
            <w:vAlign w:val="bottom"/>
            <w:tcBorders>
              <w:bottom w:val="single" w:sz="8" w:color="E3EAEE"/>
            </w:tcBorders>
            <w:gridSpan w:val="2"/>
            <w:shd w:val="clear" w:color="auto" w:fill="E3EAEE"/>
          </w:tcPr>
          <w:p>
            <w:pPr>
              <w:jc w:val="right"/>
              <w:ind w:right="80"/>
              <w:spacing w:after="0"/>
              <w:rPr>
                <w:sz w:val="20"/>
                <w:szCs w:val="20"/>
                <w:color w:val="auto"/>
              </w:rPr>
            </w:pPr>
            <w:r>
              <w:rPr>
                <w:rFonts w:ascii="Arial" w:cs="Arial" w:eastAsia="Arial" w:hAnsi="Arial"/>
                <w:sz w:val="14"/>
                <w:szCs w:val="14"/>
                <w:color w:val="3E474E"/>
              </w:rPr>
              <w:t>188,177</w:t>
            </w:r>
          </w:p>
        </w:tc>
        <w:tc>
          <w:tcPr>
            <w:tcW w:w="1100" w:type="dxa"/>
            <w:vAlign w:val="bottom"/>
            <w:tcBorders>
              <w:bottom w:val="single" w:sz="8" w:color="E3EAEE"/>
            </w:tcBorders>
            <w:gridSpan w:val="3"/>
            <w:shd w:val="clear" w:color="auto" w:fill="E3EAEE"/>
          </w:tcPr>
          <w:p>
            <w:pPr>
              <w:jc w:val="right"/>
              <w:ind w:right="60"/>
              <w:spacing w:after="0"/>
              <w:rPr>
                <w:sz w:val="20"/>
                <w:szCs w:val="20"/>
                <w:color w:val="auto"/>
              </w:rPr>
            </w:pPr>
            <w:r>
              <w:rPr>
                <w:rFonts w:ascii="Arial" w:cs="Arial" w:eastAsia="Arial" w:hAnsi="Arial"/>
                <w:sz w:val="14"/>
                <w:szCs w:val="14"/>
                <w:color w:val="3E474E"/>
              </w:rPr>
              <w:t>188,822</w:t>
            </w:r>
          </w:p>
        </w:tc>
        <w:tc>
          <w:tcPr>
            <w:tcW w:w="1560" w:type="dxa"/>
            <w:vAlign w:val="bottom"/>
            <w:tcBorders>
              <w:bottom w:val="single" w:sz="8" w:color="E3EAEE"/>
            </w:tcBorders>
            <w:gridSpan w:val="3"/>
            <w:shd w:val="clear" w:color="auto" w:fill="E3EAEE"/>
          </w:tcPr>
          <w:p>
            <w:pPr>
              <w:jc w:val="right"/>
              <w:ind w:right="40"/>
              <w:spacing w:after="0"/>
              <w:rPr>
                <w:sz w:val="20"/>
                <w:szCs w:val="20"/>
                <w:color w:val="auto"/>
              </w:rPr>
            </w:pPr>
            <w:r>
              <w:rPr>
                <w:rFonts w:ascii="Arial" w:cs="Arial" w:eastAsia="Arial" w:hAnsi="Arial"/>
                <w:sz w:val="14"/>
                <w:szCs w:val="14"/>
                <w:color w:val="3E474E"/>
              </w:rPr>
              <w:t>(20,699)</w:t>
            </w:r>
          </w:p>
        </w:tc>
        <w:tc>
          <w:tcPr>
            <w:tcW w:w="1440" w:type="dxa"/>
            <w:vAlign w:val="bottom"/>
            <w:tcBorders>
              <w:bottom w:val="single" w:sz="8" w:color="E3EAEE"/>
            </w:tcBorders>
            <w:gridSpan w:val="2"/>
            <w:shd w:val="clear" w:color="auto" w:fill="E3EAEE"/>
          </w:tcPr>
          <w:p>
            <w:pPr>
              <w:jc w:val="right"/>
              <w:ind w:right="80"/>
              <w:spacing w:after="0"/>
              <w:rPr>
                <w:sz w:val="20"/>
                <w:szCs w:val="20"/>
                <w:color w:val="auto"/>
              </w:rPr>
            </w:pPr>
            <w:r>
              <w:rPr>
                <w:rFonts w:ascii="Arial" w:cs="Arial" w:eastAsia="Arial" w:hAnsi="Arial"/>
                <w:sz w:val="14"/>
                <w:szCs w:val="14"/>
                <w:color w:val="3E474E"/>
              </w:rPr>
              <w:t>(20,625)</w:t>
            </w:r>
          </w:p>
        </w:tc>
        <w:tc>
          <w:tcPr>
            <w:tcW w:w="460" w:type="dxa"/>
            <w:vAlign w:val="bottom"/>
            <w:tcBorders>
              <w:bottom w:val="single" w:sz="8" w:color="E3EAEE"/>
            </w:tcBorders>
            <w:shd w:val="clear" w:color="auto" w:fill="E3EAEE"/>
          </w:tcPr>
          <w:p>
            <w:pPr>
              <w:spacing w:after="0"/>
              <w:rPr>
                <w:sz w:val="22"/>
                <w:szCs w:val="22"/>
                <w:color w:val="auto"/>
              </w:rPr>
            </w:pPr>
          </w:p>
        </w:tc>
        <w:tc>
          <w:tcPr>
            <w:tcW w:w="860" w:type="dxa"/>
            <w:vAlign w:val="bottom"/>
            <w:tcBorders>
              <w:bottom w:val="single" w:sz="8" w:color="E3EAEE"/>
              <w:right w:val="single" w:sz="8" w:color="E3EAEE"/>
            </w:tcBorders>
            <w:shd w:val="clear" w:color="auto" w:fill="E3EAEE"/>
          </w:tcPr>
          <w:p>
            <w:pPr>
              <w:jc w:val="right"/>
              <w:ind w:right="68"/>
              <w:spacing w:after="0"/>
              <w:rPr>
                <w:sz w:val="20"/>
                <w:szCs w:val="20"/>
                <w:color w:val="auto"/>
              </w:rPr>
            </w:pPr>
            <w:r>
              <w:rPr>
                <w:rFonts w:ascii="Arial" w:cs="Arial" w:eastAsia="Arial" w:hAnsi="Arial"/>
                <w:sz w:val="14"/>
                <w:szCs w:val="14"/>
                <w:color w:val="3E474E"/>
              </w:rPr>
              <w:t>—</w:t>
            </w:r>
          </w:p>
        </w:tc>
        <w:tc>
          <w:tcPr>
            <w:tcW w:w="1200" w:type="dxa"/>
            <w:vAlign w:val="bottom"/>
            <w:tcBorders>
              <w:bottom w:val="single" w:sz="8" w:color="E3EAEE"/>
            </w:tcBorders>
            <w:gridSpan w:val="2"/>
            <w:shd w:val="clear" w:color="auto" w:fill="E3EAEE"/>
          </w:tcPr>
          <w:p>
            <w:pPr>
              <w:jc w:val="right"/>
              <w:ind w:right="60"/>
              <w:spacing w:after="0"/>
              <w:rPr>
                <w:sz w:val="20"/>
                <w:szCs w:val="20"/>
                <w:color w:val="auto"/>
              </w:rPr>
            </w:pPr>
            <w:r>
              <w:rPr>
                <w:rFonts w:ascii="Arial" w:cs="Arial" w:eastAsia="Arial" w:hAnsi="Arial"/>
                <w:sz w:val="14"/>
                <w:szCs w:val="14"/>
                <w:color w:val="3E474E"/>
              </w:rPr>
              <w:t>1,249,836</w:t>
            </w:r>
          </w:p>
        </w:tc>
        <w:tc>
          <w:tcPr>
            <w:tcW w:w="0" w:type="dxa"/>
            <w:vAlign w:val="bottom"/>
          </w:tcPr>
          <w:p>
            <w:pPr>
              <w:spacing w:after="0"/>
              <w:rPr>
                <w:sz w:val="1"/>
                <w:szCs w:val="1"/>
                <w:color w:val="auto"/>
              </w:rPr>
            </w:pPr>
          </w:p>
        </w:tc>
      </w:tr>
      <w:tr>
        <w:trPr>
          <w:trHeight w:val="235"/>
        </w:trPr>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3E474E"/>
              </w:rPr>
              <w:t>2023</w:t>
            </w:r>
          </w:p>
        </w:tc>
        <w:tc>
          <w:tcPr>
            <w:tcW w:w="1280" w:type="dxa"/>
            <w:vAlign w:val="bottom"/>
          </w:tcPr>
          <w:p>
            <w:pPr>
              <w:jc w:val="right"/>
              <w:spacing w:after="0"/>
              <w:rPr>
                <w:sz w:val="20"/>
                <w:szCs w:val="20"/>
                <w:color w:val="auto"/>
              </w:rPr>
            </w:pPr>
            <w:r>
              <w:rPr>
                <w:rFonts w:ascii="Arial" w:cs="Arial" w:eastAsia="Arial" w:hAnsi="Arial"/>
                <w:sz w:val="14"/>
                <w:szCs w:val="14"/>
                <w:color w:val="3E474E"/>
              </w:rPr>
              <w:t>942,377</w:t>
            </w:r>
          </w:p>
        </w:tc>
        <w:tc>
          <w:tcPr>
            <w:tcW w:w="1080" w:type="dxa"/>
            <w:vAlign w:val="bottom"/>
            <w:gridSpan w:val="3"/>
          </w:tcPr>
          <w:p>
            <w:pPr>
              <w:jc w:val="right"/>
              <w:ind w:right="80"/>
              <w:spacing w:after="0"/>
              <w:rPr>
                <w:sz w:val="20"/>
                <w:szCs w:val="20"/>
                <w:color w:val="auto"/>
              </w:rPr>
            </w:pPr>
            <w:r>
              <w:rPr>
                <w:rFonts w:ascii="Arial" w:cs="Arial" w:eastAsia="Arial" w:hAnsi="Arial"/>
                <w:sz w:val="14"/>
                <w:szCs w:val="14"/>
                <w:color w:val="3E474E"/>
              </w:rPr>
              <w:t>(321,132)</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3E474E"/>
              </w:rPr>
              <w:t>193,195</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3E474E"/>
              </w:rPr>
              <w:t>128,455</w:t>
            </w:r>
          </w:p>
        </w:tc>
        <w:tc>
          <w:tcPr>
            <w:tcW w:w="1560" w:type="dxa"/>
            <w:vAlign w:val="bottom"/>
            <w:gridSpan w:val="3"/>
          </w:tcPr>
          <w:p>
            <w:pPr>
              <w:jc w:val="right"/>
              <w:ind w:right="80"/>
              <w:spacing w:after="0"/>
              <w:rPr>
                <w:sz w:val="20"/>
                <w:szCs w:val="20"/>
                <w:color w:val="auto"/>
              </w:rPr>
            </w:pPr>
            <w:r>
              <w:rPr>
                <w:rFonts w:ascii="Arial" w:cs="Arial" w:eastAsia="Arial" w:hAnsi="Arial"/>
                <w:sz w:val="14"/>
                <w:szCs w:val="14"/>
                <w:color w:val="3E474E"/>
              </w:rPr>
              <w:t>6,784</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3E474E"/>
              </w:rPr>
              <w:t>6,256</w:t>
            </w:r>
          </w:p>
        </w:tc>
        <w:tc>
          <w:tcPr>
            <w:tcW w:w="1320" w:type="dxa"/>
            <w:vAlign w:val="bottom"/>
            <w:gridSpan w:val="2"/>
          </w:tcPr>
          <w:p>
            <w:pPr>
              <w:jc w:val="right"/>
              <w:ind w:right="28"/>
              <w:spacing w:after="0"/>
              <w:rPr>
                <w:sz w:val="20"/>
                <w:szCs w:val="20"/>
                <w:color w:val="auto"/>
              </w:rPr>
            </w:pPr>
            <w:r>
              <w:rPr>
                <w:rFonts w:ascii="Arial" w:cs="Arial" w:eastAsia="Arial" w:hAnsi="Arial"/>
                <w:sz w:val="14"/>
                <w:szCs w:val="14"/>
                <w:color w:val="3E474E"/>
              </w:rPr>
              <w:t>(7,708)</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3E474E"/>
              </w:rPr>
              <w:t>948,227</w:t>
            </w:r>
          </w:p>
        </w:tc>
        <w:tc>
          <w:tcPr>
            <w:tcW w:w="0" w:type="dxa"/>
            <w:vAlign w:val="bottom"/>
          </w:tcPr>
          <w:p>
            <w:pPr>
              <w:spacing w:after="0"/>
              <w:rPr>
                <w:sz w:val="1"/>
                <w:szCs w:val="1"/>
                <w:color w:val="auto"/>
              </w:rPr>
            </w:pPr>
          </w:p>
        </w:tc>
      </w:tr>
      <w:tr>
        <w:trPr>
          <w:trHeight w:val="48"/>
        </w:trPr>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20" w:type="dxa"/>
            <w:vAlign w:val="bottom"/>
            <w:tcBorders>
              <w:bottom w:val="single" w:sz="8" w:color="E3EAEE"/>
            </w:tcBorders>
            <w:shd w:val="clear" w:color="auto" w:fill="E3EAEE"/>
          </w:tcPr>
          <w:p>
            <w:pPr>
              <w:jc w:val="right"/>
              <w:ind w:right="88"/>
              <w:spacing w:after="0"/>
              <w:rPr>
                <w:sz w:val="20"/>
                <w:szCs w:val="20"/>
                <w:color w:val="auto"/>
              </w:rPr>
            </w:pPr>
            <w:r>
              <w:rPr>
                <w:rFonts w:ascii="Arial" w:cs="Arial" w:eastAsia="Arial" w:hAnsi="Arial"/>
                <w:sz w:val="14"/>
                <w:szCs w:val="14"/>
                <w:b w:val="1"/>
                <w:bCs w:val="1"/>
                <w:color w:val="3E474E"/>
              </w:rPr>
              <w:t>2022</w:t>
            </w:r>
          </w:p>
        </w:tc>
        <w:tc>
          <w:tcPr>
            <w:tcW w:w="128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4"/>
                <w:szCs w:val="14"/>
                <w:color w:val="3E474E"/>
              </w:rPr>
              <w:t>893,722</w:t>
            </w:r>
          </w:p>
        </w:tc>
        <w:tc>
          <w:tcPr>
            <w:tcW w:w="1080" w:type="dxa"/>
            <w:vAlign w:val="bottom"/>
            <w:tcBorders>
              <w:bottom w:val="single" w:sz="8" w:color="E3EAEE"/>
              <w:right w:val="single" w:sz="8" w:color="E3EAEE"/>
            </w:tcBorders>
            <w:gridSpan w:val="3"/>
            <w:shd w:val="clear" w:color="auto" w:fill="E3EAEE"/>
          </w:tcPr>
          <w:p>
            <w:pPr>
              <w:jc w:val="right"/>
              <w:ind w:right="80"/>
              <w:spacing w:after="0"/>
              <w:rPr>
                <w:sz w:val="20"/>
                <w:szCs w:val="20"/>
                <w:color w:val="auto"/>
              </w:rPr>
            </w:pPr>
            <w:r>
              <w:rPr>
                <w:rFonts w:ascii="Arial" w:cs="Arial" w:eastAsia="Arial" w:hAnsi="Arial"/>
                <w:sz w:val="14"/>
                <w:szCs w:val="14"/>
                <w:color w:val="3E474E"/>
              </w:rPr>
              <w:t>(298,502)</w:t>
            </w:r>
          </w:p>
        </w:tc>
        <w:tc>
          <w:tcPr>
            <w:tcW w:w="1280" w:type="dxa"/>
            <w:vAlign w:val="bottom"/>
            <w:tcBorders>
              <w:bottom w:val="single" w:sz="8" w:color="E3EAEE"/>
            </w:tcBorders>
            <w:gridSpan w:val="2"/>
            <w:shd w:val="clear" w:color="auto" w:fill="E3EAEE"/>
          </w:tcPr>
          <w:p>
            <w:pPr>
              <w:jc w:val="right"/>
              <w:ind w:right="80"/>
              <w:spacing w:after="0"/>
              <w:rPr>
                <w:sz w:val="20"/>
                <w:szCs w:val="20"/>
                <w:color w:val="auto"/>
              </w:rPr>
            </w:pPr>
            <w:r>
              <w:rPr>
                <w:rFonts w:ascii="Arial" w:cs="Arial" w:eastAsia="Arial" w:hAnsi="Arial"/>
                <w:sz w:val="14"/>
                <w:szCs w:val="14"/>
                <w:color w:val="3E474E"/>
              </w:rPr>
              <w:t>149,870</w:t>
            </w:r>
          </w:p>
        </w:tc>
        <w:tc>
          <w:tcPr>
            <w:tcW w:w="1100" w:type="dxa"/>
            <w:vAlign w:val="bottom"/>
            <w:tcBorders>
              <w:bottom w:val="single" w:sz="8" w:color="E3EAEE"/>
            </w:tcBorders>
            <w:gridSpan w:val="3"/>
            <w:shd w:val="clear" w:color="auto" w:fill="E3EAEE"/>
          </w:tcPr>
          <w:p>
            <w:pPr>
              <w:jc w:val="right"/>
              <w:ind w:right="60"/>
              <w:spacing w:after="0"/>
              <w:rPr>
                <w:sz w:val="20"/>
                <w:szCs w:val="20"/>
                <w:color w:val="auto"/>
              </w:rPr>
            </w:pPr>
            <w:r>
              <w:rPr>
                <w:rFonts w:ascii="Arial" w:cs="Arial" w:eastAsia="Arial" w:hAnsi="Arial"/>
                <w:sz w:val="14"/>
                <w:szCs w:val="14"/>
                <w:color w:val="3E474E"/>
              </w:rPr>
              <w:t>105,464</w:t>
            </w:r>
          </w:p>
        </w:tc>
        <w:tc>
          <w:tcPr>
            <w:tcW w:w="1560" w:type="dxa"/>
            <w:vAlign w:val="bottom"/>
            <w:tcBorders>
              <w:bottom w:val="single" w:sz="8" w:color="E3EAEE"/>
            </w:tcBorders>
            <w:gridSpan w:val="3"/>
            <w:shd w:val="clear" w:color="auto" w:fill="E3EAEE"/>
          </w:tcPr>
          <w:p>
            <w:pPr>
              <w:jc w:val="right"/>
              <w:ind w:right="40"/>
              <w:spacing w:after="0"/>
              <w:rPr>
                <w:sz w:val="20"/>
                <w:szCs w:val="20"/>
                <w:color w:val="auto"/>
              </w:rPr>
            </w:pPr>
            <w:r>
              <w:rPr>
                <w:rFonts w:ascii="Arial" w:cs="Arial" w:eastAsia="Arial" w:hAnsi="Arial"/>
                <w:sz w:val="14"/>
                <w:szCs w:val="14"/>
                <w:color w:val="3E474E"/>
              </w:rPr>
              <w:t>(1,950)</w:t>
            </w:r>
          </w:p>
        </w:tc>
        <w:tc>
          <w:tcPr>
            <w:tcW w:w="1440" w:type="dxa"/>
            <w:vAlign w:val="bottom"/>
            <w:tcBorders>
              <w:bottom w:val="single" w:sz="8" w:color="E3EAEE"/>
            </w:tcBorders>
            <w:gridSpan w:val="2"/>
            <w:shd w:val="clear" w:color="auto" w:fill="E3EAEE"/>
          </w:tcPr>
          <w:p>
            <w:pPr>
              <w:jc w:val="right"/>
              <w:ind w:right="80"/>
              <w:spacing w:after="0"/>
              <w:rPr>
                <w:sz w:val="20"/>
                <w:szCs w:val="20"/>
                <w:color w:val="auto"/>
              </w:rPr>
            </w:pPr>
            <w:r>
              <w:rPr>
                <w:rFonts w:ascii="Arial" w:cs="Arial" w:eastAsia="Arial" w:hAnsi="Arial"/>
                <w:sz w:val="14"/>
                <w:szCs w:val="14"/>
                <w:color w:val="3E474E"/>
              </w:rPr>
              <w:t>(14,962)</w:t>
            </w:r>
          </w:p>
        </w:tc>
        <w:tc>
          <w:tcPr>
            <w:tcW w:w="460" w:type="dxa"/>
            <w:vAlign w:val="bottom"/>
            <w:tcBorders>
              <w:bottom w:val="single" w:sz="8" w:color="E3EAEE"/>
            </w:tcBorders>
            <w:shd w:val="clear" w:color="auto" w:fill="E3EAEE"/>
          </w:tcPr>
          <w:p>
            <w:pPr>
              <w:spacing w:after="0"/>
              <w:rPr>
                <w:sz w:val="22"/>
                <w:szCs w:val="22"/>
                <w:color w:val="auto"/>
              </w:rPr>
            </w:pPr>
          </w:p>
        </w:tc>
        <w:tc>
          <w:tcPr>
            <w:tcW w:w="860" w:type="dxa"/>
            <w:vAlign w:val="bottom"/>
            <w:tcBorders>
              <w:bottom w:val="single" w:sz="8" w:color="E3EAEE"/>
              <w:right w:val="single" w:sz="8" w:color="E3EAEE"/>
            </w:tcBorders>
            <w:shd w:val="clear" w:color="auto" w:fill="E3EAEE"/>
          </w:tcPr>
          <w:p>
            <w:pPr>
              <w:jc w:val="right"/>
              <w:ind w:right="68"/>
              <w:spacing w:after="0"/>
              <w:rPr>
                <w:sz w:val="20"/>
                <w:szCs w:val="20"/>
                <w:color w:val="auto"/>
              </w:rPr>
            </w:pPr>
            <w:r>
              <w:rPr>
                <w:rFonts w:ascii="Arial" w:cs="Arial" w:eastAsia="Arial" w:hAnsi="Arial"/>
                <w:sz w:val="14"/>
                <w:szCs w:val="14"/>
                <w:color w:val="3E474E"/>
              </w:rPr>
              <w:t>—</w:t>
            </w:r>
          </w:p>
        </w:tc>
        <w:tc>
          <w:tcPr>
            <w:tcW w:w="1200" w:type="dxa"/>
            <w:vAlign w:val="bottom"/>
            <w:tcBorders>
              <w:bottom w:val="single" w:sz="8" w:color="E3EAEE"/>
            </w:tcBorders>
            <w:gridSpan w:val="2"/>
            <w:shd w:val="clear" w:color="auto" w:fill="E3EAEE"/>
          </w:tcPr>
          <w:p>
            <w:pPr>
              <w:jc w:val="right"/>
              <w:ind w:right="60"/>
              <w:spacing w:after="0"/>
              <w:rPr>
                <w:sz w:val="20"/>
                <w:szCs w:val="20"/>
                <w:color w:val="auto"/>
              </w:rPr>
            </w:pPr>
            <w:r>
              <w:rPr>
                <w:rFonts w:ascii="Arial" w:cs="Arial" w:eastAsia="Arial" w:hAnsi="Arial"/>
                <w:sz w:val="14"/>
                <w:szCs w:val="14"/>
                <w:color w:val="3E474E"/>
              </w:rPr>
              <w:t>833,642</w:t>
            </w:r>
          </w:p>
        </w:tc>
        <w:tc>
          <w:tcPr>
            <w:tcW w:w="0" w:type="dxa"/>
            <w:vAlign w:val="bottom"/>
          </w:tcPr>
          <w:p>
            <w:pPr>
              <w:spacing w:after="0"/>
              <w:rPr>
                <w:sz w:val="1"/>
                <w:szCs w:val="1"/>
                <w:color w:val="auto"/>
              </w:rPr>
            </w:pPr>
          </w:p>
        </w:tc>
      </w:tr>
      <w:tr>
        <w:trPr>
          <w:trHeight w:val="235"/>
        </w:trPr>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3E474E"/>
              </w:rPr>
              <w:t>2021</w:t>
            </w:r>
          </w:p>
        </w:tc>
        <w:tc>
          <w:tcPr>
            <w:tcW w:w="1280" w:type="dxa"/>
            <w:vAlign w:val="bottom"/>
          </w:tcPr>
          <w:p>
            <w:pPr>
              <w:jc w:val="right"/>
              <w:spacing w:after="0"/>
              <w:rPr>
                <w:sz w:val="20"/>
                <w:szCs w:val="20"/>
                <w:color w:val="auto"/>
              </w:rPr>
            </w:pPr>
            <w:r>
              <w:rPr>
                <w:rFonts w:ascii="Arial" w:cs="Arial" w:eastAsia="Arial" w:hAnsi="Arial"/>
                <w:sz w:val="14"/>
                <w:szCs w:val="14"/>
                <w:color w:val="3E474E"/>
              </w:rPr>
              <w:t>794,553</w:t>
            </w:r>
          </w:p>
        </w:tc>
        <w:tc>
          <w:tcPr>
            <w:tcW w:w="1080" w:type="dxa"/>
            <w:vAlign w:val="bottom"/>
            <w:gridSpan w:val="3"/>
          </w:tcPr>
          <w:p>
            <w:pPr>
              <w:jc w:val="right"/>
              <w:ind w:right="80"/>
              <w:spacing w:after="0"/>
              <w:rPr>
                <w:sz w:val="20"/>
                <w:szCs w:val="20"/>
                <w:color w:val="auto"/>
              </w:rPr>
            </w:pPr>
            <w:r>
              <w:rPr>
                <w:rFonts w:ascii="Arial" w:cs="Arial" w:eastAsia="Arial" w:hAnsi="Arial"/>
                <w:sz w:val="14"/>
                <w:szCs w:val="14"/>
                <w:color w:val="3E474E"/>
              </w:rPr>
              <w:t>(151,557)</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3E474E"/>
              </w:rPr>
              <w:t>109,489</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3E474E"/>
              </w:rPr>
              <w:t>60,628</w:t>
            </w:r>
          </w:p>
        </w:tc>
        <w:tc>
          <w:tcPr>
            <w:tcW w:w="1560" w:type="dxa"/>
            <w:vAlign w:val="bottom"/>
            <w:gridSpan w:val="3"/>
          </w:tcPr>
          <w:p>
            <w:pPr>
              <w:jc w:val="right"/>
              <w:ind w:right="80"/>
              <w:spacing w:after="0"/>
              <w:rPr>
                <w:sz w:val="20"/>
                <w:szCs w:val="20"/>
                <w:color w:val="auto"/>
              </w:rPr>
            </w:pPr>
            <w:r>
              <w:rPr>
                <w:rFonts w:ascii="Arial" w:cs="Arial" w:eastAsia="Arial" w:hAnsi="Arial"/>
                <w:sz w:val="14"/>
                <w:szCs w:val="14"/>
                <w:color w:val="3E474E"/>
              </w:rPr>
              <w:t>15,119</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3E474E"/>
              </w:rPr>
              <w:t>18,623</w:t>
            </w:r>
          </w:p>
        </w:tc>
        <w:tc>
          <w:tcPr>
            <w:tcW w:w="460" w:type="dxa"/>
            <w:vAlign w:val="bottom"/>
          </w:tcPr>
          <w:p>
            <w:pPr>
              <w:spacing w:after="0"/>
              <w:rPr>
                <w:sz w:val="20"/>
                <w:szCs w:val="20"/>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3E474E"/>
              </w:rPr>
              <w:t>—</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3E474E"/>
              </w:rPr>
              <w:t>846,855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0" w:hanging="192"/>
        <w:spacing w:after="0"/>
        <w:tabs>
          <w:tab w:leader="none" w:pos="200" w:val="left"/>
        </w:tabs>
        <w:numPr>
          <w:ilvl w:val="0"/>
          <w:numId w:val="91"/>
        </w:numPr>
        <w:rPr>
          <w:rFonts w:ascii="Arial" w:cs="Arial" w:eastAsia="Arial" w:hAnsi="Arial"/>
          <w:sz w:val="16"/>
          <w:szCs w:val="16"/>
          <w:color w:val="3E474E"/>
          <w:vertAlign w:val="superscript"/>
        </w:rPr>
      </w:pPr>
      <w:r>
        <w:rPr>
          <w:rFonts w:ascii="Arial" w:cs="Arial" w:eastAsia="Arial" w:hAnsi="Arial"/>
          <w:sz w:val="13"/>
          <w:szCs w:val="13"/>
          <w:color w:val="3E474E"/>
        </w:rPr>
        <w:t>Pursuant to SEC rules, the total shareholder return ("TSR") figures assume an initial investment of $100 on December 31, 2020.</w:t>
      </w:r>
    </w:p>
    <w:p>
      <w:pPr>
        <w:spacing w:after="0" w:line="56" w:lineRule="exact"/>
        <w:rPr>
          <w:rFonts w:ascii="Arial" w:cs="Arial" w:eastAsia="Arial" w:hAnsi="Arial"/>
          <w:sz w:val="16"/>
          <w:szCs w:val="16"/>
          <w:color w:val="3E474E"/>
          <w:vertAlign w:val="superscript"/>
        </w:rPr>
      </w:pPr>
    </w:p>
    <w:p>
      <w:pPr>
        <w:ind w:left="180" w:right="300" w:hanging="172"/>
        <w:spacing w:after="0" w:line="211" w:lineRule="auto"/>
        <w:tabs>
          <w:tab w:leader="none" w:pos="140" w:val="left"/>
        </w:tabs>
        <w:numPr>
          <w:ilvl w:val="0"/>
          <w:numId w:val="91"/>
        </w:numPr>
        <w:rPr>
          <w:rFonts w:ascii="Arial" w:cs="Arial" w:eastAsia="Arial" w:hAnsi="Arial"/>
          <w:sz w:val="16"/>
          <w:szCs w:val="16"/>
          <w:color w:val="3E474E"/>
          <w:vertAlign w:val="superscript"/>
        </w:rPr>
      </w:pPr>
      <w:r>
        <w:rPr>
          <w:rFonts w:ascii="Arial" w:cs="Arial" w:eastAsia="Arial" w:hAnsi="Arial"/>
          <w:sz w:val="13"/>
          <w:szCs w:val="13"/>
          <w:color w:val="3E474E"/>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37" w:lineRule="exact"/>
        <w:rPr>
          <w:rFonts w:ascii="Arial" w:cs="Arial" w:eastAsia="Arial" w:hAnsi="Arial"/>
          <w:sz w:val="16"/>
          <w:szCs w:val="16"/>
          <w:color w:val="3E474E"/>
          <w:vertAlign w:val="superscript"/>
        </w:rPr>
      </w:pPr>
    </w:p>
    <w:p>
      <w:pPr>
        <w:ind w:left="180" w:right="40" w:hanging="172"/>
        <w:spacing w:after="0" w:line="230" w:lineRule="auto"/>
        <w:tabs>
          <w:tab w:leader="none" w:pos="208" w:val="left"/>
        </w:tabs>
        <w:numPr>
          <w:ilvl w:val="0"/>
          <w:numId w:val="91"/>
        </w:numPr>
        <w:rPr>
          <w:rFonts w:ascii="Arial" w:cs="Arial" w:eastAsia="Arial" w:hAnsi="Arial"/>
          <w:sz w:val="16"/>
          <w:szCs w:val="16"/>
          <w:color w:val="3E474E"/>
          <w:vertAlign w:val="superscript"/>
        </w:rPr>
      </w:pPr>
      <w:r>
        <w:rPr>
          <w:rFonts w:ascii="Arial" w:cs="Arial" w:eastAsia="Arial" w:hAnsi="Arial"/>
          <w:sz w:val="13"/>
          <w:szCs w:val="13"/>
          <w:color w:val="3E474E"/>
        </w:rPr>
        <w:t>Represents the weighted peer group TSR, weighted according to the respective companies' stock market capitalization at the beginning of each period for which a return is indicated. As permitted by SEC rules, the peer group referenced for purpose of the TSR comparison is the group of companies included in the MSCI US REIT Index, which is the industry peer group used for purposes of Item 201(e) of Regulation S-K.</w:t>
      </w:r>
    </w:p>
    <w:p>
      <w:pPr>
        <w:spacing w:after="0" w:line="36" w:lineRule="exact"/>
        <w:rPr>
          <w:rFonts w:ascii="Arial" w:cs="Arial" w:eastAsia="Arial" w:hAnsi="Arial"/>
          <w:sz w:val="16"/>
          <w:szCs w:val="16"/>
          <w:color w:val="3E474E"/>
          <w:vertAlign w:val="superscript"/>
        </w:rPr>
      </w:pPr>
    </w:p>
    <w:p>
      <w:pPr>
        <w:ind w:left="180" w:right="80" w:hanging="172"/>
        <w:spacing w:after="0" w:line="259" w:lineRule="auto"/>
        <w:tabs>
          <w:tab w:leader="none" w:pos="208" w:val="left"/>
        </w:tabs>
        <w:numPr>
          <w:ilvl w:val="0"/>
          <w:numId w:val="91"/>
        </w:numPr>
        <w:rPr>
          <w:rFonts w:ascii="Arial" w:cs="Arial" w:eastAsia="Arial" w:hAnsi="Arial"/>
          <w:sz w:val="15"/>
          <w:szCs w:val="15"/>
          <w:color w:val="3E474E"/>
          <w:vertAlign w:val="superscript"/>
        </w:rPr>
      </w:pPr>
      <w:r>
        <w:rPr>
          <w:rFonts w:ascii="Arial" w:cs="Arial" w:eastAsia="Arial" w:hAnsi="Arial"/>
          <w:sz w:val="12"/>
          <w:szCs w:val="12"/>
          <w:color w:val="3E474E"/>
        </w:rPr>
        <w:t>Normalized FFO is defined as FFO calculated in accordance with the standards establish by the National Association of Real Estate Investment Trusts (“Nareit”), adjusted for certain items, including but not limited to, acquisition, development, and other pursuit costs, debt extinguishment losses, prepayment penalties, impairment of intangible assets and liabilities, mark-to-market adjustments on interest rate derivatives not designated as cash flow hedges, amortization of payments made to purchase interest rate caps and swaps designated as cash flow hedges, provision for unrealized non-cash credit losses, amortization of right-of-use assets attributable to finance leases, severance related costs, and other non-comparable items. Nareit defines FFO as net income (loss) calculated in accordance with GAAP, excluding depreciation and amortization related to real estate, gains or losses from the sale of certain real estate assets, gains and losses from change in control, and impairment write-downs of certain real estate assets and investments in entities when the impairment is directly attributable to decreases in the value of depreciable real estate held by the entity.</w:t>
      </w:r>
    </w:p>
    <w:p>
      <w:pPr>
        <w:spacing w:after="0" w:line="68" w:lineRule="exact"/>
        <w:rPr>
          <w:rFonts w:ascii="Arial" w:cs="Arial" w:eastAsia="Arial" w:hAnsi="Arial"/>
          <w:sz w:val="15"/>
          <w:szCs w:val="15"/>
          <w:color w:val="3E474E"/>
          <w:vertAlign w:val="superscript"/>
        </w:rPr>
      </w:pPr>
    </w:p>
    <w:p>
      <w:pPr>
        <w:ind w:left="180" w:right="140" w:hanging="172"/>
        <w:spacing w:after="0" w:line="237" w:lineRule="auto"/>
        <w:tabs>
          <w:tab w:leader="none" w:pos="153" w:val="left"/>
        </w:tabs>
        <w:numPr>
          <w:ilvl w:val="0"/>
          <w:numId w:val="91"/>
        </w:numPr>
        <w:rPr>
          <w:rFonts w:ascii="Arial" w:cs="Arial" w:eastAsia="Arial" w:hAnsi="Arial"/>
          <w:sz w:val="16"/>
          <w:szCs w:val="16"/>
          <w:color w:val="3E474E"/>
          <w:vertAlign w:val="superscript"/>
        </w:rPr>
      </w:pPr>
      <w:r>
        <w:rPr>
          <w:rFonts w:ascii="Arial" w:cs="Arial" w:eastAsia="Arial" w:hAnsi="Arial"/>
          <w:sz w:val="13"/>
          <w:szCs w:val="13"/>
          <w:color w:val="3E474E"/>
        </w:rPr>
        <w:t>As a result of inadvertently issuing more shares of common stock than were available for issuance under the Equity Plan, on May 9, 2023, Messrs. Haddad and Barnes-Smith forfeited 75,321 and 8,975 restricted shares of common stock, respectively. Following approval by the board of directors and stockholders of an amendment to the Equity Plan to increase the number of shares available for issuance thereunder, on June 20, 2023, 75,321 restricted shares of common stock at a grant date fair value of $915,903 and 8,975 restricted shares of common stock at grant date fair value of $109,136 were granted to Messrs. Haddad and Barnes-Smith, respectively, one-third of which vested on March 3, 2024, one-third of which vested on March 3, 2025, and one-third of which will vest on March 3, 2026, subject to the their continued employment on such dates.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FINANCIAL PERFORMANCE MEASURES</w:t>
      </w:r>
    </w:p>
    <w:p>
      <w:pPr>
        <w:spacing w:after="0" w:line="11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3E474E"/>
        </w:rPr>
        <w:t xml:space="preserve">As described in greater detail in the Compensation Discussion and Analysis on page </w:t>
      </w:r>
      <w:r>
        <w:rPr>
          <w:rFonts w:ascii="Arial" w:cs="Arial" w:eastAsia="Arial" w:hAnsi="Arial"/>
          <w:sz w:val="16"/>
          <w:szCs w:val="16"/>
          <w:u w:val="single" w:color="auto"/>
          <w:color w:val="0000FF"/>
        </w:rPr>
        <w:t>40</w:t>
      </w:r>
      <w:r>
        <w:rPr>
          <w:rFonts w:ascii="Arial" w:cs="Arial" w:eastAsia="Arial" w:hAnsi="Arial"/>
          <w:sz w:val="16"/>
          <w:szCs w:val="16"/>
          <w:color w:val="3E474E"/>
        </w:rPr>
        <w:t>, our approach to executive compensation is designed to align and motivate NEOs to continue their focus on stockholder performance and the successful execution of key strategic priorities. The most important financial measures used by the Company to link compensation actually paid to the NEOs for the most recently completed fiscal year, to the Company's performance are as follows (unranked):</w:t>
      </w:r>
    </w:p>
    <w:p>
      <w:pPr>
        <w:spacing w:after="0" w:line="38" w:lineRule="exact"/>
        <w:rPr>
          <w:sz w:val="20"/>
          <w:szCs w:val="20"/>
          <w:color w:val="auto"/>
        </w:rPr>
      </w:pPr>
    </w:p>
    <w:p>
      <w:pPr>
        <w:ind w:left="200" w:hanging="174"/>
        <w:spacing w:after="0"/>
        <w:tabs>
          <w:tab w:leader="none" w:pos="200" w:val="left"/>
        </w:tabs>
        <w:numPr>
          <w:ilvl w:val="0"/>
          <w:numId w:val="92"/>
        </w:numPr>
        <w:rPr>
          <w:rFonts w:ascii="Arial" w:cs="Arial" w:eastAsia="Arial" w:hAnsi="Arial"/>
          <w:sz w:val="16"/>
          <w:szCs w:val="16"/>
          <w:b w:val="1"/>
          <w:bCs w:val="1"/>
          <w:color w:val="3E474E"/>
        </w:rPr>
      </w:pPr>
      <w:r>
        <w:rPr>
          <w:rFonts w:ascii="Arial" w:cs="Arial" w:eastAsia="Arial" w:hAnsi="Arial"/>
          <w:sz w:val="16"/>
          <w:szCs w:val="16"/>
          <w:b w:val="1"/>
          <w:bCs w:val="1"/>
          <w:color w:val="3E474E"/>
        </w:rPr>
        <w:t>Normalized FFO;</w:t>
      </w:r>
    </w:p>
    <w:p>
      <w:pPr>
        <w:spacing w:after="0" w:line="113" w:lineRule="exact"/>
        <w:rPr>
          <w:rFonts w:ascii="Arial" w:cs="Arial" w:eastAsia="Arial" w:hAnsi="Arial"/>
          <w:sz w:val="16"/>
          <w:szCs w:val="16"/>
          <w:b w:val="1"/>
          <w:bCs w:val="1"/>
          <w:color w:val="3E474E"/>
        </w:rPr>
      </w:pPr>
    </w:p>
    <w:p>
      <w:pPr>
        <w:ind w:left="200" w:hanging="174"/>
        <w:spacing w:after="0"/>
        <w:tabs>
          <w:tab w:leader="none" w:pos="200" w:val="left"/>
        </w:tabs>
        <w:numPr>
          <w:ilvl w:val="0"/>
          <w:numId w:val="92"/>
        </w:numPr>
        <w:rPr>
          <w:rFonts w:ascii="Arial" w:cs="Arial" w:eastAsia="Arial" w:hAnsi="Arial"/>
          <w:sz w:val="16"/>
          <w:szCs w:val="16"/>
          <w:b w:val="1"/>
          <w:bCs w:val="1"/>
          <w:color w:val="3E474E"/>
        </w:rPr>
      </w:pPr>
      <w:r>
        <w:rPr>
          <w:rFonts w:ascii="Arial" w:cs="Arial" w:eastAsia="Arial" w:hAnsi="Arial"/>
          <w:sz w:val="16"/>
          <w:szCs w:val="16"/>
          <w:b w:val="1"/>
          <w:bCs w:val="1"/>
          <w:color w:val="3E474E"/>
        </w:rPr>
        <w:t>Normalized FFO/Share;</w:t>
      </w:r>
    </w:p>
    <w:p>
      <w:pPr>
        <w:spacing w:after="0" w:line="113" w:lineRule="exact"/>
        <w:rPr>
          <w:rFonts w:ascii="Arial" w:cs="Arial" w:eastAsia="Arial" w:hAnsi="Arial"/>
          <w:sz w:val="16"/>
          <w:szCs w:val="16"/>
          <w:b w:val="1"/>
          <w:bCs w:val="1"/>
          <w:color w:val="3E474E"/>
        </w:rPr>
      </w:pPr>
    </w:p>
    <w:p>
      <w:pPr>
        <w:ind w:left="200" w:hanging="174"/>
        <w:spacing w:after="0"/>
        <w:tabs>
          <w:tab w:leader="none" w:pos="200" w:val="left"/>
        </w:tabs>
        <w:numPr>
          <w:ilvl w:val="0"/>
          <w:numId w:val="92"/>
        </w:numPr>
        <w:rPr>
          <w:rFonts w:ascii="Arial" w:cs="Arial" w:eastAsia="Arial" w:hAnsi="Arial"/>
          <w:sz w:val="16"/>
          <w:szCs w:val="16"/>
          <w:b w:val="1"/>
          <w:bCs w:val="1"/>
          <w:color w:val="3E474E"/>
        </w:rPr>
      </w:pPr>
      <w:r>
        <w:rPr>
          <w:rFonts w:ascii="Arial" w:cs="Arial" w:eastAsia="Arial" w:hAnsi="Arial"/>
          <w:sz w:val="16"/>
          <w:szCs w:val="16"/>
          <w:b w:val="1"/>
          <w:bCs w:val="1"/>
          <w:color w:val="3E474E"/>
        </w:rPr>
        <w:t>Net Operating Income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ANALYSIS OF THE INFORMATION PRESENTED IN THE PAY VERSUS PERFORMANCE TABLE</w:t>
      </w:r>
    </w:p>
    <w:p>
      <w:pPr>
        <w:spacing w:after="0" w:line="100"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3E474E"/>
        </w:rPr>
        <w:t>The following graphs illustrate the relationship during 2020-2025 of the Compensation Actually Paid to our CEO and the Average Compensation Actually Paid to our other NEOs (each as set forth in the table above), to (i) our cumulative TSR and the cumulative TSR of the constituent companies in the MSCI US REIT Index, (ii) our GAAP net income, and (iii) our Normalized FFO (in each case as set forth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57</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747C83"/>
        </w:rPr>
        <w:t>Compensation Table and Narratives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726440</wp:posOffset>
            </wp:positionV>
            <wp:extent cx="6172200" cy="71837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72200" cy="71837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8742045</wp:posOffset>
            </wp:positionV>
            <wp:extent cx="8255"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8742045</wp:posOffset>
            </wp:positionV>
            <wp:extent cx="8255"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58</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747C83"/>
        </w:rPr>
        <w:t>Compensation Table and Narratives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3E474E"/>
        </w:rPr>
        <w:t>Refer to Appendix A for the reconciliation of Normalized FFO to Net Income.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EQUITY COMPENSATION PLAN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3E474E"/>
        </w:rPr>
        <w:t>The following table gives information about shares of our common stock that may be issued under the Equity Incentive Plan as of December 31,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40" w:type="dxa"/>
            <w:vAlign w:val="bottom"/>
            <w:shd w:val="clear" w:color="auto" w:fill="E3EAEE"/>
          </w:tcPr>
          <w:p>
            <w:pPr>
              <w:spacing w:after="0"/>
              <w:rPr>
                <w:sz w:val="18"/>
                <w:szCs w:val="18"/>
                <w:color w:val="auto"/>
              </w:rPr>
            </w:pPr>
          </w:p>
        </w:tc>
        <w:tc>
          <w:tcPr>
            <w:tcW w:w="2940" w:type="dxa"/>
            <w:vAlign w:val="bottom"/>
            <w:vMerge w:val="restart"/>
            <w:shd w:val="clear" w:color="auto" w:fill="E3EAEE"/>
          </w:tcPr>
          <w:p>
            <w:pPr>
              <w:jc w:val="right"/>
              <w:ind w:right="299"/>
              <w:spacing w:after="0"/>
              <w:rPr>
                <w:sz w:val="20"/>
                <w:szCs w:val="20"/>
                <w:color w:val="auto"/>
              </w:rPr>
            </w:pPr>
            <w:r>
              <w:rPr>
                <w:rFonts w:ascii="Arial" w:cs="Arial" w:eastAsia="Arial" w:hAnsi="Arial"/>
                <w:sz w:val="16"/>
                <w:szCs w:val="16"/>
                <w:b w:val="1"/>
                <w:bCs w:val="1"/>
                <w:color w:val="1478A3"/>
              </w:rPr>
              <w:t>Number of Securities to</w:t>
            </w:r>
          </w:p>
        </w:tc>
        <w:tc>
          <w:tcPr>
            <w:tcW w:w="2740" w:type="dxa"/>
            <w:vAlign w:val="bottom"/>
            <w:vMerge w:val="restart"/>
            <w:shd w:val="clear" w:color="auto" w:fill="E3EAEE"/>
          </w:tcPr>
          <w:p>
            <w:pPr>
              <w:jc w:val="right"/>
              <w:ind w:right="223"/>
              <w:spacing w:after="0"/>
              <w:rPr>
                <w:sz w:val="20"/>
                <w:szCs w:val="20"/>
                <w:color w:val="auto"/>
              </w:rPr>
            </w:pPr>
            <w:r>
              <w:rPr>
                <w:rFonts w:ascii="Arial" w:cs="Arial" w:eastAsia="Arial" w:hAnsi="Arial"/>
                <w:sz w:val="16"/>
                <w:szCs w:val="16"/>
                <w:b w:val="1"/>
                <w:bCs w:val="1"/>
                <w:color w:val="1478A3"/>
              </w:rPr>
              <w:t>Weighted Average Exercise</w:t>
            </w:r>
          </w:p>
        </w:tc>
        <w:tc>
          <w:tcPr>
            <w:tcW w:w="3020" w:type="dxa"/>
            <w:vAlign w:val="bottom"/>
            <w:shd w:val="clear" w:color="auto" w:fill="E3EAEE"/>
          </w:tcPr>
          <w:p>
            <w:pPr>
              <w:jc w:val="right"/>
              <w:ind w:right="39"/>
              <w:spacing w:after="0"/>
              <w:rPr>
                <w:sz w:val="20"/>
                <w:szCs w:val="20"/>
                <w:color w:val="auto"/>
              </w:rPr>
            </w:pPr>
            <w:r>
              <w:rPr>
                <w:rFonts w:ascii="Arial" w:cs="Arial" w:eastAsia="Arial" w:hAnsi="Arial"/>
                <w:sz w:val="16"/>
                <w:szCs w:val="16"/>
                <w:b w:val="1"/>
                <w:bCs w:val="1"/>
                <w:color w:val="1478A3"/>
              </w:rPr>
              <w:t>Number of Securities Remaining</w:t>
            </w:r>
          </w:p>
        </w:tc>
        <w:tc>
          <w:tcPr>
            <w:tcW w:w="0" w:type="dxa"/>
            <w:vAlign w:val="bottom"/>
          </w:tcPr>
          <w:p>
            <w:pPr>
              <w:spacing w:after="0"/>
              <w:rPr>
                <w:sz w:val="1"/>
                <w:szCs w:val="1"/>
                <w:color w:val="auto"/>
              </w:rPr>
            </w:pPr>
          </w:p>
        </w:tc>
      </w:tr>
      <w:tr>
        <w:trPr>
          <w:trHeight w:val="189"/>
        </w:trPr>
        <w:tc>
          <w:tcPr>
            <w:tcW w:w="2540" w:type="dxa"/>
            <w:vAlign w:val="bottom"/>
            <w:shd w:val="clear" w:color="auto" w:fill="E3EAEE"/>
          </w:tcPr>
          <w:p>
            <w:pPr>
              <w:spacing w:after="0"/>
              <w:rPr>
                <w:sz w:val="16"/>
                <w:szCs w:val="16"/>
                <w:color w:val="auto"/>
              </w:rPr>
            </w:pPr>
          </w:p>
        </w:tc>
        <w:tc>
          <w:tcPr>
            <w:tcW w:w="2940" w:type="dxa"/>
            <w:vAlign w:val="bottom"/>
            <w:vMerge w:val="continue"/>
            <w:shd w:val="clear" w:color="auto" w:fill="E3EAEE"/>
          </w:tcPr>
          <w:p>
            <w:pPr>
              <w:spacing w:after="0"/>
              <w:rPr>
                <w:sz w:val="16"/>
                <w:szCs w:val="16"/>
                <w:color w:val="auto"/>
              </w:rPr>
            </w:pPr>
          </w:p>
        </w:tc>
        <w:tc>
          <w:tcPr>
            <w:tcW w:w="2740" w:type="dxa"/>
            <w:vAlign w:val="bottom"/>
            <w:vMerge w:val="continue"/>
            <w:shd w:val="clear" w:color="auto" w:fill="E3EAEE"/>
          </w:tcPr>
          <w:p>
            <w:pPr>
              <w:spacing w:after="0"/>
              <w:rPr>
                <w:sz w:val="16"/>
                <w:szCs w:val="16"/>
                <w:color w:val="auto"/>
              </w:rPr>
            </w:pPr>
          </w:p>
        </w:tc>
        <w:tc>
          <w:tcPr>
            <w:tcW w:w="3020" w:type="dxa"/>
            <w:vAlign w:val="bottom"/>
            <w:shd w:val="clear" w:color="auto" w:fill="E3EAEE"/>
          </w:tcPr>
          <w:p>
            <w:pPr>
              <w:jc w:val="right"/>
              <w:ind w:right="39"/>
              <w:spacing w:after="0"/>
              <w:rPr>
                <w:sz w:val="20"/>
                <w:szCs w:val="20"/>
                <w:color w:val="auto"/>
              </w:rPr>
            </w:pPr>
            <w:r>
              <w:rPr>
                <w:rFonts w:ascii="Arial" w:cs="Arial" w:eastAsia="Arial" w:hAnsi="Arial"/>
                <w:sz w:val="16"/>
                <w:szCs w:val="16"/>
                <w:b w:val="1"/>
                <w:bCs w:val="1"/>
                <w:color w:val="1478A3"/>
              </w:rPr>
              <w:t>Available for Future Issuance Under</w:t>
            </w:r>
          </w:p>
        </w:tc>
        <w:tc>
          <w:tcPr>
            <w:tcW w:w="0" w:type="dxa"/>
            <w:vAlign w:val="bottom"/>
          </w:tcPr>
          <w:p>
            <w:pPr>
              <w:spacing w:after="0"/>
              <w:rPr>
                <w:sz w:val="1"/>
                <w:szCs w:val="1"/>
                <w:color w:val="auto"/>
              </w:rPr>
            </w:pPr>
          </w:p>
        </w:tc>
      </w:tr>
      <w:tr>
        <w:trPr>
          <w:trHeight w:val="189"/>
        </w:trPr>
        <w:tc>
          <w:tcPr>
            <w:tcW w:w="2540" w:type="dxa"/>
            <w:vAlign w:val="bottom"/>
            <w:shd w:val="clear" w:color="auto" w:fill="E3EAEE"/>
          </w:tcPr>
          <w:p>
            <w:pPr>
              <w:spacing w:after="0"/>
              <w:rPr>
                <w:sz w:val="16"/>
                <w:szCs w:val="16"/>
                <w:color w:val="auto"/>
              </w:rPr>
            </w:pPr>
          </w:p>
        </w:tc>
        <w:tc>
          <w:tcPr>
            <w:tcW w:w="2940" w:type="dxa"/>
            <w:vAlign w:val="bottom"/>
            <w:shd w:val="clear" w:color="auto" w:fill="E3EAEE"/>
          </w:tcPr>
          <w:p>
            <w:pPr>
              <w:jc w:val="right"/>
              <w:ind w:right="299"/>
              <w:spacing w:after="0"/>
              <w:rPr>
                <w:sz w:val="20"/>
                <w:szCs w:val="20"/>
                <w:color w:val="auto"/>
              </w:rPr>
            </w:pPr>
            <w:r>
              <w:rPr>
                <w:rFonts w:ascii="Arial" w:cs="Arial" w:eastAsia="Arial" w:hAnsi="Arial"/>
                <w:sz w:val="16"/>
                <w:szCs w:val="16"/>
                <w:b w:val="1"/>
                <w:bCs w:val="1"/>
                <w:color w:val="1478A3"/>
              </w:rPr>
              <w:t>be Issued Upon Exercise</w:t>
            </w:r>
          </w:p>
        </w:tc>
        <w:tc>
          <w:tcPr>
            <w:tcW w:w="2740" w:type="dxa"/>
            <w:vAlign w:val="bottom"/>
            <w:shd w:val="clear" w:color="auto" w:fill="E3EAEE"/>
          </w:tcPr>
          <w:p>
            <w:pPr>
              <w:jc w:val="right"/>
              <w:ind w:right="223"/>
              <w:spacing w:after="0"/>
              <w:rPr>
                <w:sz w:val="20"/>
                <w:szCs w:val="20"/>
                <w:color w:val="auto"/>
              </w:rPr>
            </w:pPr>
            <w:r>
              <w:rPr>
                <w:rFonts w:ascii="Arial" w:cs="Arial" w:eastAsia="Arial" w:hAnsi="Arial"/>
                <w:sz w:val="16"/>
                <w:szCs w:val="16"/>
                <w:b w:val="1"/>
                <w:bCs w:val="1"/>
                <w:color w:val="1478A3"/>
              </w:rPr>
              <w:t>Price of Outstanding Options,</w:t>
            </w:r>
          </w:p>
        </w:tc>
        <w:tc>
          <w:tcPr>
            <w:tcW w:w="3020" w:type="dxa"/>
            <w:vAlign w:val="bottom"/>
            <w:shd w:val="clear" w:color="auto" w:fill="E3EAEE"/>
          </w:tcPr>
          <w:p>
            <w:pPr>
              <w:jc w:val="right"/>
              <w:ind w:right="39"/>
              <w:spacing w:after="0"/>
              <w:rPr>
                <w:sz w:val="20"/>
                <w:szCs w:val="20"/>
                <w:color w:val="auto"/>
              </w:rPr>
            </w:pPr>
            <w:r>
              <w:rPr>
                <w:rFonts w:ascii="Arial" w:cs="Arial" w:eastAsia="Arial" w:hAnsi="Arial"/>
                <w:sz w:val="16"/>
                <w:szCs w:val="16"/>
                <w:b w:val="1"/>
                <w:bCs w:val="1"/>
                <w:color w:val="1478A3"/>
              </w:rPr>
              <w:t>Equity Compensation Plans</w:t>
            </w:r>
          </w:p>
        </w:tc>
        <w:tc>
          <w:tcPr>
            <w:tcW w:w="0" w:type="dxa"/>
            <w:vAlign w:val="bottom"/>
          </w:tcPr>
          <w:p>
            <w:pPr>
              <w:spacing w:after="0"/>
              <w:rPr>
                <w:sz w:val="1"/>
                <w:szCs w:val="1"/>
                <w:color w:val="auto"/>
              </w:rPr>
            </w:pPr>
          </w:p>
        </w:tc>
      </w:tr>
      <w:tr>
        <w:trPr>
          <w:trHeight w:val="189"/>
        </w:trPr>
        <w:tc>
          <w:tcPr>
            <w:tcW w:w="2540" w:type="dxa"/>
            <w:vAlign w:val="bottom"/>
            <w:shd w:val="clear" w:color="auto" w:fill="E3EAEE"/>
          </w:tcPr>
          <w:p>
            <w:pPr>
              <w:spacing w:after="0"/>
              <w:rPr>
                <w:sz w:val="16"/>
                <w:szCs w:val="16"/>
                <w:color w:val="auto"/>
              </w:rPr>
            </w:pPr>
          </w:p>
        </w:tc>
        <w:tc>
          <w:tcPr>
            <w:tcW w:w="2940" w:type="dxa"/>
            <w:vAlign w:val="bottom"/>
            <w:shd w:val="clear" w:color="auto" w:fill="E3EAEE"/>
          </w:tcPr>
          <w:p>
            <w:pPr>
              <w:jc w:val="right"/>
              <w:ind w:right="299"/>
              <w:spacing w:after="0"/>
              <w:rPr>
                <w:sz w:val="20"/>
                <w:szCs w:val="20"/>
                <w:color w:val="auto"/>
              </w:rPr>
            </w:pPr>
            <w:r>
              <w:rPr>
                <w:rFonts w:ascii="Arial" w:cs="Arial" w:eastAsia="Arial" w:hAnsi="Arial"/>
                <w:sz w:val="16"/>
                <w:szCs w:val="16"/>
                <w:b w:val="1"/>
                <w:bCs w:val="1"/>
                <w:color w:val="1478A3"/>
              </w:rPr>
              <w:t>of Outstanding Options,</w:t>
            </w:r>
          </w:p>
        </w:tc>
        <w:tc>
          <w:tcPr>
            <w:tcW w:w="2740" w:type="dxa"/>
            <w:vAlign w:val="bottom"/>
            <w:shd w:val="clear" w:color="auto" w:fill="E3EAEE"/>
          </w:tcPr>
          <w:p>
            <w:pPr>
              <w:jc w:val="right"/>
              <w:ind w:right="223"/>
              <w:spacing w:after="0"/>
              <w:rPr>
                <w:sz w:val="20"/>
                <w:szCs w:val="20"/>
                <w:color w:val="auto"/>
              </w:rPr>
            </w:pPr>
            <w:r>
              <w:rPr>
                <w:rFonts w:ascii="Arial" w:cs="Arial" w:eastAsia="Arial" w:hAnsi="Arial"/>
                <w:sz w:val="16"/>
                <w:szCs w:val="16"/>
                <w:b w:val="1"/>
                <w:bCs w:val="1"/>
                <w:color w:val="1478A3"/>
              </w:rPr>
              <w:t>Warrants, and Rights</w:t>
            </w:r>
          </w:p>
        </w:tc>
        <w:tc>
          <w:tcPr>
            <w:tcW w:w="3020" w:type="dxa"/>
            <w:vAlign w:val="bottom"/>
            <w:shd w:val="clear" w:color="auto" w:fill="E3EAEE"/>
          </w:tcPr>
          <w:p>
            <w:pPr>
              <w:jc w:val="right"/>
              <w:ind w:right="39"/>
              <w:spacing w:after="0"/>
              <w:rPr>
                <w:sz w:val="20"/>
                <w:szCs w:val="20"/>
                <w:color w:val="auto"/>
              </w:rPr>
            </w:pPr>
            <w:r>
              <w:rPr>
                <w:rFonts w:ascii="Arial" w:cs="Arial" w:eastAsia="Arial" w:hAnsi="Arial"/>
                <w:sz w:val="16"/>
                <w:szCs w:val="16"/>
                <w:b w:val="1"/>
                <w:bCs w:val="1"/>
                <w:color w:val="1478A3"/>
              </w:rPr>
              <w:t>(Excluding Securities Reflected in</w:t>
            </w:r>
          </w:p>
        </w:tc>
        <w:tc>
          <w:tcPr>
            <w:tcW w:w="0" w:type="dxa"/>
            <w:vAlign w:val="bottom"/>
          </w:tcPr>
          <w:p>
            <w:pPr>
              <w:spacing w:after="0"/>
              <w:rPr>
                <w:sz w:val="1"/>
                <w:szCs w:val="1"/>
                <w:color w:val="auto"/>
              </w:rPr>
            </w:pPr>
          </w:p>
        </w:tc>
      </w:tr>
      <w:tr>
        <w:trPr>
          <w:trHeight w:val="236"/>
        </w:trPr>
        <w:tc>
          <w:tcPr>
            <w:tcW w:w="2540" w:type="dxa"/>
            <w:vAlign w:val="bottom"/>
            <w:shd w:val="clear" w:color="auto" w:fill="E3EAEE"/>
          </w:tcPr>
          <w:p>
            <w:pPr>
              <w:ind w:left="140"/>
              <w:spacing w:after="0"/>
              <w:rPr>
                <w:sz w:val="20"/>
                <w:szCs w:val="20"/>
                <w:color w:val="auto"/>
              </w:rPr>
            </w:pPr>
            <w:r>
              <w:rPr>
                <w:rFonts w:ascii="Arial" w:cs="Arial" w:eastAsia="Arial" w:hAnsi="Arial"/>
                <w:sz w:val="16"/>
                <w:szCs w:val="16"/>
                <w:b w:val="1"/>
                <w:bCs w:val="1"/>
                <w:color w:val="1478A3"/>
              </w:rPr>
              <w:t>Plan Category</w:t>
            </w:r>
          </w:p>
        </w:tc>
        <w:tc>
          <w:tcPr>
            <w:tcW w:w="2940" w:type="dxa"/>
            <w:vAlign w:val="bottom"/>
            <w:shd w:val="clear" w:color="auto" w:fill="E3EAEE"/>
          </w:tcPr>
          <w:p>
            <w:pPr>
              <w:jc w:val="right"/>
              <w:ind w:right="259"/>
              <w:spacing w:after="0"/>
              <w:rPr>
                <w:sz w:val="20"/>
                <w:szCs w:val="20"/>
                <w:color w:val="auto"/>
              </w:rPr>
            </w:pPr>
            <w:r>
              <w:rPr>
                <w:rFonts w:ascii="Arial" w:cs="Arial" w:eastAsia="Arial" w:hAnsi="Arial"/>
                <w:sz w:val="16"/>
                <w:szCs w:val="16"/>
                <w:b w:val="1"/>
                <w:bCs w:val="1"/>
                <w:color w:val="1478A3"/>
              </w:rPr>
              <w:t>Warrants, and Rights</w:t>
            </w:r>
          </w:p>
        </w:tc>
        <w:tc>
          <w:tcPr>
            <w:tcW w:w="2740" w:type="dxa"/>
            <w:vAlign w:val="bottom"/>
            <w:shd w:val="clear" w:color="auto" w:fill="E3EAEE"/>
          </w:tcPr>
          <w:p>
            <w:pPr>
              <w:jc w:val="right"/>
              <w:ind w:right="223"/>
              <w:spacing w:after="0"/>
              <w:rPr>
                <w:sz w:val="20"/>
                <w:szCs w:val="20"/>
                <w:color w:val="auto"/>
              </w:rPr>
            </w:pPr>
            <w:r>
              <w:rPr>
                <w:rFonts w:ascii="Arial" w:cs="Arial" w:eastAsia="Arial" w:hAnsi="Arial"/>
                <w:sz w:val="16"/>
                <w:szCs w:val="16"/>
                <w:b w:val="1"/>
                <w:bCs w:val="1"/>
                <w:color w:val="1478A3"/>
              </w:rPr>
              <w:t>($)</w:t>
            </w:r>
          </w:p>
        </w:tc>
        <w:tc>
          <w:tcPr>
            <w:tcW w:w="3020" w:type="dxa"/>
            <w:vAlign w:val="bottom"/>
            <w:shd w:val="clear" w:color="auto" w:fill="E3EAEE"/>
          </w:tcPr>
          <w:p>
            <w:pPr>
              <w:jc w:val="right"/>
              <w:ind w:right="39"/>
              <w:spacing w:after="0"/>
              <w:rPr>
                <w:sz w:val="20"/>
                <w:szCs w:val="20"/>
                <w:color w:val="auto"/>
              </w:rPr>
            </w:pPr>
            <w:r>
              <w:rPr>
                <w:rFonts w:ascii="Arial" w:cs="Arial" w:eastAsia="Arial" w:hAnsi="Arial"/>
                <w:sz w:val="16"/>
                <w:szCs w:val="16"/>
                <w:b w:val="1"/>
                <w:bCs w:val="1"/>
                <w:color w:val="1478A3"/>
              </w:rPr>
              <w:t>First Column)</w:t>
            </w:r>
          </w:p>
        </w:tc>
        <w:tc>
          <w:tcPr>
            <w:tcW w:w="0" w:type="dxa"/>
            <w:vAlign w:val="bottom"/>
          </w:tcPr>
          <w:p>
            <w:pPr>
              <w:spacing w:after="0"/>
              <w:rPr>
                <w:sz w:val="1"/>
                <w:szCs w:val="1"/>
                <w:color w:val="auto"/>
              </w:rPr>
            </w:pPr>
          </w:p>
        </w:tc>
      </w:tr>
      <w:tr>
        <w:trPr>
          <w:trHeight w:val="170"/>
        </w:trPr>
        <w:tc>
          <w:tcPr>
            <w:tcW w:w="2540" w:type="dxa"/>
            <w:vAlign w:val="bottom"/>
            <w:tcBorders>
              <w:bottom w:val="single" w:sz="8" w:color="1478A3"/>
            </w:tcBorders>
            <w:shd w:val="clear" w:color="auto" w:fill="E3EAEE"/>
          </w:tcPr>
          <w:p>
            <w:pPr>
              <w:spacing w:after="0"/>
              <w:rPr>
                <w:sz w:val="14"/>
                <w:szCs w:val="14"/>
                <w:color w:val="auto"/>
              </w:rPr>
            </w:pPr>
          </w:p>
        </w:tc>
        <w:tc>
          <w:tcPr>
            <w:tcW w:w="2940" w:type="dxa"/>
            <w:vAlign w:val="bottom"/>
            <w:tcBorders>
              <w:bottom w:val="single" w:sz="8" w:color="1478A3"/>
            </w:tcBorders>
            <w:shd w:val="clear" w:color="auto" w:fill="E3EAEE"/>
          </w:tcPr>
          <w:p>
            <w:pPr>
              <w:spacing w:after="0"/>
              <w:rPr>
                <w:sz w:val="14"/>
                <w:szCs w:val="14"/>
                <w:color w:val="auto"/>
              </w:rPr>
            </w:pPr>
          </w:p>
        </w:tc>
        <w:tc>
          <w:tcPr>
            <w:tcW w:w="2740" w:type="dxa"/>
            <w:vAlign w:val="bottom"/>
            <w:tcBorders>
              <w:bottom w:val="single" w:sz="8" w:color="1478A3"/>
            </w:tcBorders>
            <w:shd w:val="clear" w:color="auto" w:fill="E3EAEE"/>
          </w:tcPr>
          <w:p>
            <w:pPr>
              <w:spacing w:after="0"/>
              <w:rPr>
                <w:sz w:val="14"/>
                <w:szCs w:val="14"/>
                <w:color w:val="auto"/>
              </w:rPr>
            </w:pPr>
          </w:p>
        </w:tc>
        <w:tc>
          <w:tcPr>
            <w:tcW w:w="3020" w:type="dxa"/>
            <w:vAlign w:val="bottom"/>
            <w:tcBorders>
              <w:bottom w:val="single" w:sz="8" w:color="1478A3"/>
            </w:tcBorders>
            <w:shd w:val="clear" w:color="auto" w:fill="E3EAE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540" w:type="dxa"/>
            <w:vAlign w:val="bottom"/>
          </w:tcPr>
          <w:p>
            <w:pPr>
              <w:ind w:left="140"/>
              <w:spacing w:after="0"/>
              <w:rPr>
                <w:sz w:val="20"/>
                <w:szCs w:val="20"/>
                <w:color w:val="auto"/>
              </w:rPr>
            </w:pPr>
            <w:r>
              <w:rPr>
                <w:rFonts w:ascii="Arial" w:cs="Arial" w:eastAsia="Arial" w:hAnsi="Arial"/>
                <w:sz w:val="16"/>
                <w:szCs w:val="16"/>
                <w:color w:val="3E474E"/>
              </w:rPr>
              <w:t>Equity compensation plans</w:t>
            </w:r>
          </w:p>
        </w:tc>
        <w:tc>
          <w:tcPr>
            <w:tcW w:w="2940" w:type="dxa"/>
            <w:vAlign w:val="bottom"/>
          </w:tcPr>
          <w:p>
            <w:pPr>
              <w:jc w:val="right"/>
              <w:ind w:right="79"/>
              <w:spacing w:after="0"/>
              <w:rPr>
                <w:sz w:val="20"/>
                <w:szCs w:val="20"/>
                <w:color w:val="auto"/>
              </w:rPr>
            </w:pPr>
            <w:r>
              <w:rPr>
                <w:rFonts w:ascii="Arial" w:cs="Arial" w:eastAsia="Arial" w:hAnsi="Arial"/>
                <w:sz w:val="16"/>
                <w:szCs w:val="16"/>
                <w:color w:val="3E474E"/>
              </w:rPr>
              <w:t xml:space="preserve">146,493 </w:t>
            </w:r>
            <w:r>
              <w:rPr>
                <w:rFonts w:ascii="Arial" w:cs="Arial" w:eastAsia="Arial" w:hAnsi="Arial"/>
                <w:sz w:val="21"/>
                <w:szCs w:val="21"/>
                <w:color w:val="3E474E"/>
                <w:vertAlign w:val="superscript"/>
              </w:rPr>
              <w:t>(2)</w:t>
            </w:r>
          </w:p>
        </w:tc>
        <w:tc>
          <w:tcPr>
            <w:tcW w:w="2740" w:type="dxa"/>
            <w:vAlign w:val="bottom"/>
          </w:tcPr>
          <w:p>
            <w:pPr>
              <w:ind w:left="2240"/>
              <w:spacing w:after="0" w:line="264" w:lineRule="exact"/>
              <w:rPr>
                <w:sz w:val="20"/>
                <w:szCs w:val="20"/>
                <w:color w:val="auto"/>
              </w:rPr>
            </w:pPr>
            <w:r>
              <w:rPr>
                <w:rFonts w:ascii="Arial" w:cs="Arial" w:eastAsia="Arial" w:hAnsi="Arial"/>
                <w:sz w:val="30"/>
                <w:szCs w:val="30"/>
                <w:color w:val="3E474E"/>
                <w:vertAlign w:val="subscript"/>
              </w:rPr>
              <w:t>—</w:t>
            </w:r>
            <w:r>
              <w:rPr>
                <w:rFonts w:ascii="Arial" w:cs="Arial" w:eastAsia="Arial" w:hAnsi="Arial"/>
                <w:sz w:val="10"/>
                <w:szCs w:val="10"/>
                <w:color w:val="3E474E"/>
              </w:rPr>
              <w:t xml:space="preserve"> (3)</w:t>
            </w:r>
          </w:p>
        </w:tc>
        <w:tc>
          <w:tcPr>
            <w:tcW w:w="3020" w:type="dxa"/>
            <w:vAlign w:val="bottom"/>
          </w:tcPr>
          <w:p>
            <w:pPr>
              <w:jc w:val="right"/>
              <w:spacing w:after="0"/>
              <w:rPr>
                <w:sz w:val="20"/>
                <w:szCs w:val="20"/>
                <w:color w:val="auto"/>
              </w:rPr>
            </w:pPr>
            <w:r>
              <w:rPr>
                <w:rFonts w:ascii="Arial" w:cs="Arial" w:eastAsia="Arial" w:hAnsi="Arial"/>
                <w:sz w:val="16"/>
                <w:szCs w:val="16"/>
                <w:color w:val="3E474E"/>
              </w:rPr>
              <w:t>2,104,475</w:t>
            </w:r>
          </w:p>
        </w:tc>
        <w:tc>
          <w:tcPr>
            <w:tcW w:w="0" w:type="dxa"/>
            <w:vAlign w:val="bottom"/>
          </w:tcPr>
          <w:p>
            <w:pPr>
              <w:spacing w:after="0"/>
              <w:rPr>
                <w:sz w:val="1"/>
                <w:szCs w:val="1"/>
                <w:color w:val="auto"/>
              </w:rPr>
            </w:pPr>
          </w:p>
        </w:tc>
      </w:tr>
      <w:tr>
        <w:trPr>
          <w:trHeight w:val="175"/>
        </w:trPr>
        <w:tc>
          <w:tcPr>
            <w:tcW w:w="2540" w:type="dxa"/>
            <w:vAlign w:val="bottom"/>
          </w:tcPr>
          <w:p>
            <w:pPr>
              <w:ind w:left="140"/>
              <w:spacing w:after="0" w:line="176" w:lineRule="exact"/>
              <w:rPr>
                <w:sz w:val="20"/>
                <w:szCs w:val="20"/>
                <w:color w:val="auto"/>
              </w:rPr>
            </w:pPr>
            <w:r>
              <w:rPr>
                <w:rFonts w:ascii="Arial" w:cs="Arial" w:eastAsia="Arial" w:hAnsi="Arial"/>
                <w:sz w:val="15"/>
                <w:szCs w:val="15"/>
                <w:color w:val="3E474E"/>
              </w:rPr>
              <w:t>approved by stockholders</w:t>
            </w:r>
            <w:r>
              <w:rPr>
                <w:rFonts w:ascii="Arial" w:cs="Arial" w:eastAsia="Arial" w:hAnsi="Arial"/>
                <w:sz w:val="20"/>
                <w:szCs w:val="20"/>
                <w:color w:val="3E474E"/>
                <w:vertAlign w:val="superscript"/>
              </w:rPr>
              <w:t>(1)</w:t>
            </w:r>
          </w:p>
        </w:tc>
        <w:tc>
          <w:tcPr>
            <w:tcW w:w="29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54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Equity compensation</w:t>
            </w:r>
          </w:p>
        </w:tc>
        <w:tc>
          <w:tcPr>
            <w:tcW w:w="2940" w:type="dxa"/>
            <w:vAlign w:val="bottom"/>
            <w:vMerge w:val="restart"/>
            <w:shd w:val="clear" w:color="auto" w:fill="E3EAEE"/>
          </w:tcPr>
          <w:p>
            <w:pPr>
              <w:jc w:val="right"/>
              <w:ind w:right="299"/>
              <w:spacing w:after="0"/>
              <w:rPr>
                <w:sz w:val="20"/>
                <w:szCs w:val="20"/>
                <w:color w:val="auto"/>
              </w:rPr>
            </w:pPr>
            <w:r>
              <w:rPr>
                <w:rFonts w:ascii="Arial" w:cs="Arial" w:eastAsia="Arial" w:hAnsi="Arial"/>
                <w:sz w:val="16"/>
                <w:szCs w:val="16"/>
                <w:color w:val="3E474E"/>
              </w:rPr>
              <w:t>—</w:t>
            </w:r>
          </w:p>
        </w:tc>
        <w:tc>
          <w:tcPr>
            <w:tcW w:w="2740" w:type="dxa"/>
            <w:vAlign w:val="bottom"/>
            <w:vMerge w:val="restart"/>
            <w:shd w:val="clear" w:color="auto" w:fill="E3EAEE"/>
          </w:tcPr>
          <w:p>
            <w:pPr>
              <w:ind w:left="2240"/>
              <w:spacing w:after="0"/>
              <w:rPr>
                <w:sz w:val="20"/>
                <w:szCs w:val="20"/>
                <w:color w:val="auto"/>
              </w:rPr>
            </w:pPr>
            <w:r>
              <w:rPr>
                <w:rFonts w:ascii="Arial" w:cs="Arial" w:eastAsia="Arial" w:hAnsi="Arial"/>
                <w:sz w:val="16"/>
                <w:szCs w:val="16"/>
                <w:color w:val="3E474E"/>
              </w:rPr>
              <w:t>—</w:t>
            </w:r>
          </w:p>
        </w:tc>
        <w:tc>
          <w:tcPr>
            <w:tcW w:w="3020" w:type="dxa"/>
            <w:vAlign w:val="bottom"/>
            <w:vMerge w:val="restart"/>
            <w:shd w:val="clear" w:color="auto" w:fill="E3EAEE"/>
          </w:tcPr>
          <w:p>
            <w:pPr>
              <w:jc w:val="right"/>
              <w:ind w:right="159"/>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189"/>
        </w:trPr>
        <w:tc>
          <w:tcPr>
            <w:tcW w:w="254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plans not approved</w:t>
            </w:r>
          </w:p>
        </w:tc>
        <w:tc>
          <w:tcPr>
            <w:tcW w:w="2940" w:type="dxa"/>
            <w:vAlign w:val="bottom"/>
            <w:vMerge w:val="continue"/>
            <w:shd w:val="clear" w:color="auto" w:fill="E3EAEE"/>
          </w:tcPr>
          <w:p>
            <w:pPr>
              <w:spacing w:after="0"/>
              <w:rPr>
                <w:sz w:val="16"/>
                <w:szCs w:val="16"/>
                <w:color w:val="auto"/>
              </w:rPr>
            </w:pPr>
          </w:p>
        </w:tc>
        <w:tc>
          <w:tcPr>
            <w:tcW w:w="2740" w:type="dxa"/>
            <w:vAlign w:val="bottom"/>
            <w:vMerge w:val="continue"/>
            <w:shd w:val="clear" w:color="auto" w:fill="E3EAEE"/>
          </w:tcPr>
          <w:p>
            <w:pPr>
              <w:spacing w:after="0"/>
              <w:rPr>
                <w:sz w:val="16"/>
                <w:szCs w:val="16"/>
                <w:color w:val="auto"/>
              </w:rPr>
            </w:pPr>
          </w:p>
        </w:tc>
        <w:tc>
          <w:tcPr>
            <w:tcW w:w="3020" w:type="dxa"/>
            <w:vAlign w:val="bottom"/>
            <w:vMerge w:val="continue"/>
            <w:shd w:val="clear" w:color="auto" w:fill="E3EAE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40" w:type="dxa"/>
            <w:vAlign w:val="bottom"/>
            <w:tcBorders>
              <w:bottom w:val="single" w:sz="8" w:color="1478A3"/>
            </w:tcBorders>
            <w:shd w:val="clear" w:color="auto" w:fill="E3EAEE"/>
          </w:tcPr>
          <w:p>
            <w:pPr>
              <w:ind w:left="140"/>
              <w:spacing w:after="0"/>
              <w:rPr>
                <w:sz w:val="20"/>
                <w:szCs w:val="20"/>
                <w:color w:val="auto"/>
              </w:rPr>
            </w:pPr>
            <w:r>
              <w:rPr>
                <w:rFonts w:ascii="Arial" w:cs="Arial" w:eastAsia="Arial" w:hAnsi="Arial"/>
                <w:sz w:val="16"/>
                <w:szCs w:val="16"/>
                <w:color w:val="3E474E"/>
              </w:rPr>
              <w:t>by stockholders</w:t>
            </w:r>
          </w:p>
        </w:tc>
        <w:tc>
          <w:tcPr>
            <w:tcW w:w="2940" w:type="dxa"/>
            <w:vAlign w:val="bottom"/>
            <w:tcBorders>
              <w:bottom w:val="single" w:sz="8" w:color="1478A3"/>
            </w:tcBorders>
            <w:shd w:val="clear" w:color="auto" w:fill="E3EAEE"/>
          </w:tcPr>
          <w:p>
            <w:pPr>
              <w:spacing w:after="0"/>
              <w:rPr>
                <w:sz w:val="19"/>
                <w:szCs w:val="19"/>
                <w:color w:val="auto"/>
              </w:rPr>
            </w:pPr>
          </w:p>
        </w:tc>
        <w:tc>
          <w:tcPr>
            <w:tcW w:w="2740" w:type="dxa"/>
            <w:vAlign w:val="bottom"/>
            <w:tcBorders>
              <w:bottom w:val="single" w:sz="8" w:color="1478A3"/>
            </w:tcBorders>
            <w:shd w:val="clear" w:color="auto" w:fill="E3EAEE"/>
          </w:tcPr>
          <w:p>
            <w:pPr>
              <w:spacing w:after="0"/>
              <w:rPr>
                <w:sz w:val="19"/>
                <w:szCs w:val="19"/>
                <w:color w:val="auto"/>
              </w:rPr>
            </w:pPr>
          </w:p>
        </w:tc>
        <w:tc>
          <w:tcPr>
            <w:tcW w:w="3020" w:type="dxa"/>
            <w:vAlign w:val="bottom"/>
            <w:tcBorders>
              <w:bottom w:val="single" w:sz="8" w:color="1478A3"/>
            </w:tcBorders>
            <w:shd w:val="clear" w:color="auto" w:fill="E3EAE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1478A3"/>
            </w:tcBorders>
          </w:tcPr>
          <w:p>
            <w:pPr>
              <w:ind w:left="140"/>
              <w:spacing w:after="0"/>
              <w:rPr>
                <w:sz w:val="20"/>
                <w:szCs w:val="20"/>
                <w:color w:val="auto"/>
              </w:rPr>
            </w:pPr>
            <w:r>
              <w:rPr>
                <w:rFonts w:ascii="Arial" w:cs="Arial" w:eastAsia="Arial" w:hAnsi="Arial"/>
                <w:sz w:val="16"/>
                <w:szCs w:val="16"/>
                <w:color w:val="3E474E"/>
              </w:rPr>
              <w:t>Total</w:t>
            </w:r>
          </w:p>
        </w:tc>
        <w:tc>
          <w:tcPr>
            <w:tcW w:w="2940" w:type="dxa"/>
            <w:vAlign w:val="bottom"/>
            <w:tcBorders>
              <w:bottom w:val="single" w:sz="8" w:color="1478A3"/>
            </w:tcBorders>
          </w:tcPr>
          <w:p>
            <w:pPr>
              <w:jc w:val="right"/>
              <w:ind w:right="299"/>
              <w:spacing w:after="0"/>
              <w:rPr>
                <w:sz w:val="20"/>
                <w:szCs w:val="20"/>
                <w:color w:val="auto"/>
              </w:rPr>
            </w:pPr>
            <w:r>
              <w:rPr>
                <w:rFonts w:ascii="Arial" w:cs="Arial" w:eastAsia="Arial" w:hAnsi="Arial"/>
                <w:sz w:val="16"/>
                <w:szCs w:val="16"/>
                <w:color w:val="3E474E"/>
              </w:rPr>
              <w:t>146,493</w:t>
            </w:r>
          </w:p>
        </w:tc>
        <w:tc>
          <w:tcPr>
            <w:tcW w:w="2740" w:type="dxa"/>
            <w:vAlign w:val="bottom"/>
            <w:tcBorders>
              <w:bottom w:val="single" w:sz="8" w:color="1478A3"/>
            </w:tcBorders>
          </w:tcPr>
          <w:p>
            <w:pPr>
              <w:ind w:left="2240"/>
              <w:spacing w:after="0"/>
              <w:rPr>
                <w:sz w:val="20"/>
                <w:szCs w:val="20"/>
                <w:color w:val="auto"/>
              </w:rPr>
            </w:pPr>
            <w:r>
              <w:rPr>
                <w:rFonts w:ascii="Arial" w:cs="Arial" w:eastAsia="Arial" w:hAnsi="Arial"/>
                <w:sz w:val="16"/>
                <w:szCs w:val="16"/>
                <w:color w:val="3E474E"/>
              </w:rPr>
              <w:t>—</w:t>
            </w:r>
          </w:p>
        </w:tc>
        <w:tc>
          <w:tcPr>
            <w:tcW w:w="3020" w:type="dxa"/>
            <w:vAlign w:val="bottom"/>
            <w:tcBorders>
              <w:bottom w:val="single" w:sz="8" w:color="1478A3"/>
            </w:tcBorders>
          </w:tcPr>
          <w:p>
            <w:pPr>
              <w:jc w:val="right"/>
              <w:spacing w:after="0"/>
              <w:rPr>
                <w:sz w:val="20"/>
                <w:szCs w:val="20"/>
                <w:color w:val="auto"/>
              </w:rPr>
            </w:pPr>
            <w:r>
              <w:rPr>
                <w:rFonts w:ascii="Arial" w:cs="Arial" w:eastAsia="Arial" w:hAnsi="Arial"/>
                <w:sz w:val="16"/>
                <w:szCs w:val="16"/>
                <w:color w:val="3E474E"/>
              </w:rPr>
              <w:t>2,104,475</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right="140" w:hanging="132"/>
        <w:spacing w:after="0" w:line="254" w:lineRule="auto"/>
        <w:tabs>
          <w:tab w:leader="none" w:pos="133" w:val="left"/>
        </w:tabs>
        <w:numPr>
          <w:ilvl w:val="0"/>
          <w:numId w:val="93"/>
        </w:numPr>
        <w:rPr>
          <w:rFonts w:ascii="Arial" w:cs="Arial" w:eastAsia="Arial" w:hAnsi="Arial"/>
          <w:sz w:val="15"/>
          <w:szCs w:val="15"/>
          <w:color w:val="3E474E"/>
          <w:vertAlign w:val="superscript"/>
        </w:rPr>
      </w:pPr>
      <w:r>
        <w:rPr>
          <w:rFonts w:ascii="Arial" w:cs="Arial" w:eastAsia="Arial" w:hAnsi="Arial"/>
          <w:sz w:val="12"/>
          <w:szCs w:val="12"/>
          <w:color w:val="3E474E"/>
        </w:rPr>
        <w:t>The initial Equity Incentive Plan was approved by our stockholders prior to the completion of our initial public offering. On June 14, 2017, the Company’s stockholders approved an amendment to the Equity Incentive Plan to, among other things, increase the numbers of shares of our common stock reserved for issuance by 1,000,000 shares. On June 14, 2023, the Company’s stockholders approved an amendment to the Equity Incentive Plan, which increased the number of shares of the Company’s common stock reserved for issuance by 1,700,000 shares. On June 18, 2025, the Company's stockholders approved an Amendment No. 2 to the Equity Incentive Plan, which increased the number of share of the Company's common stock reserved for issuance by 3,400,000 shares.</w:t>
      </w:r>
    </w:p>
    <w:p>
      <w:pPr>
        <w:spacing w:after="0" w:line="147" w:lineRule="exact"/>
        <w:rPr>
          <w:rFonts w:ascii="Arial" w:cs="Arial" w:eastAsia="Arial" w:hAnsi="Arial"/>
          <w:sz w:val="15"/>
          <w:szCs w:val="15"/>
          <w:color w:val="3E474E"/>
          <w:vertAlign w:val="superscript"/>
        </w:rPr>
      </w:pPr>
    </w:p>
    <w:p>
      <w:pPr>
        <w:ind w:left="140" w:hanging="132"/>
        <w:spacing w:after="0" w:line="200" w:lineRule="auto"/>
        <w:tabs>
          <w:tab w:leader="none" w:pos="140" w:val="left"/>
        </w:tabs>
        <w:numPr>
          <w:ilvl w:val="0"/>
          <w:numId w:val="93"/>
        </w:numPr>
        <w:rPr>
          <w:rFonts w:ascii="Arial" w:cs="Arial" w:eastAsia="Arial" w:hAnsi="Arial"/>
          <w:sz w:val="16"/>
          <w:szCs w:val="16"/>
          <w:color w:val="3E474E"/>
          <w:vertAlign w:val="superscript"/>
        </w:rPr>
      </w:pPr>
      <w:r>
        <w:rPr>
          <w:rFonts w:ascii="Arial" w:cs="Arial" w:eastAsia="Arial" w:hAnsi="Arial"/>
          <w:sz w:val="13"/>
          <w:szCs w:val="13"/>
          <w:color w:val="3E474E"/>
        </w:rPr>
        <w:t xml:space="preserve">Represents </w:t>
      </w:r>
      <w:r>
        <w:rPr>
          <w:rFonts w:ascii="Arial" w:cs="Arial" w:eastAsia="Arial" w:hAnsi="Arial"/>
          <w:sz w:val="13"/>
          <w:szCs w:val="13"/>
          <w:color w:val="000000"/>
        </w:rPr>
        <w:t>146,493</w:t>
      </w:r>
      <w:r>
        <w:rPr>
          <w:rFonts w:ascii="Arial" w:cs="Arial" w:eastAsia="Arial" w:hAnsi="Arial"/>
          <w:sz w:val="13"/>
          <w:szCs w:val="13"/>
          <w:color w:val="3E474E"/>
        </w:rPr>
        <w:t xml:space="preserve"> shares of common stock that may be issued upon vesting of outstanding RSUs, assuming maximum vesting is achieved.</w:t>
      </w:r>
    </w:p>
    <w:p>
      <w:pPr>
        <w:spacing w:after="0" w:line="49" w:lineRule="exact"/>
        <w:rPr>
          <w:rFonts w:ascii="Arial" w:cs="Arial" w:eastAsia="Arial" w:hAnsi="Arial"/>
          <w:sz w:val="16"/>
          <w:szCs w:val="16"/>
          <w:color w:val="3E474E"/>
          <w:vertAlign w:val="superscript"/>
        </w:rPr>
      </w:pPr>
    </w:p>
    <w:p>
      <w:pPr>
        <w:ind w:left="140" w:hanging="132"/>
        <w:spacing w:after="0" w:line="200" w:lineRule="auto"/>
        <w:tabs>
          <w:tab w:leader="none" w:pos="140" w:val="left"/>
        </w:tabs>
        <w:numPr>
          <w:ilvl w:val="0"/>
          <w:numId w:val="93"/>
        </w:numPr>
        <w:rPr>
          <w:rFonts w:ascii="Arial" w:cs="Arial" w:eastAsia="Arial" w:hAnsi="Arial"/>
          <w:sz w:val="16"/>
          <w:szCs w:val="16"/>
          <w:color w:val="3E474E"/>
          <w:vertAlign w:val="superscript"/>
        </w:rPr>
      </w:pPr>
      <w:r>
        <w:rPr>
          <w:rFonts w:ascii="Arial" w:cs="Arial" w:eastAsia="Arial" w:hAnsi="Arial"/>
          <w:sz w:val="13"/>
          <w:szCs w:val="13"/>
          <w:color w:val="3E474E"/>
        </w:rPr>
        <w:t>Does not account for the shares of common stock subject to outstanding RSUs because there is no exercise price for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59</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196"/>
        </w:trPr>
        <w:tc>
          <w:tcPr>
            <w:tcW w:w="5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747C83"/>
        </w:rPr>
        <w:t>Principal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Principal Stockholders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BENEFICIAL OWNERSHIP OF DIRECTORS AND EXECUTIVE OFFICERS</w:t>
      </w:r>
    </w:p>
    <w:p>
      <w:pPr>
        <w:spacing w:after="0" w:line="113"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3E474E"/>
        </w:rPr>
        <w:t>The following tables set forth certain information regarding the beneficial ownership of shares of our common stock, OP units, Time-Based LTIP units as of April 24, 2026, by (a) each of our directors, (b) each of our named executive officers, (c) all of our directors and executive officers as a group, and (d) each person known to us to be the beneficial owner of more than five percent of our common stock. Beginning one year after the date of issuance, an OP unit is redeemable for cash equal to the then-current market value of one share of our common stock or, at our option, for one share of common stock. Time-Based LTIP units included in the table below are vested or will vest within 60 days after April 24, 2026. Time-Based LTIP units that will not vest within 60 days after April 24, 2026, are excluded from the tables below. There are no outstanding vested Performance LTIP units or unvested Performance LTIP units that are expected to vest within 60 days after April 24, 2026, and, therefore, all outstanding Performance LTIP units are excluded from the tables below. Unless otherwise indicated, all shares, OP units, and LTIP units are owned directly and the indicated person has sole voting and dispositive power with respect to such shares, OP units, or LTIP units. The SEC has defined “beneficial ownership” of a security to mean the possession, directly or indirectly, of voting power and/or dispositive power with respect to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3E474E"/>
        </w:rPr>
        <w:t>Unless otherwise indicated, the address of each person listed below is c/o AH Realty Trust, Inc., 4605 Columbus Street, Virginia Beach, Virginia 23462.</w:t>
      </w:r>
    </w:p>
    <w:p>
      <w:pPr>
        <w:spacing w:after="0" w:line="354"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3E474E"/>
        </w:rPr>
        <w:t>The following table sets forth information regarding the amount and nature of beneficial ownership of the Company’s Common Stock, Preferred Stock, OP units, and LTIP Units as of April 24, 2026, by each director and named executive officer and by all directors and executive officers as a group.</w:t>
      </w:r>
    </w:p>
    <w:tbl>
      <w:tblPr>
        <w:tblLayout w:type="fixed"/>
        <w:tblInd w:w="0" w:type="dxa"/>
        <w:tblCellMar>
          <w:top w:w="0" w:type="dxa"/>
          <w:left w:w="0" w:type="dxa"/>
          <w:bottom w:w="0" w:type="dxa"/>
          <w:right w:w="0" w:type="dxa"/>
        </w:tblCellMar>
      </w:tblPr>
      <w:tr>
        <w:trPr>
          <w:trHeight w:val="243"/>
        </w:trPr>
        <w:tc>
          <w:tcPr>
            <w:tcW w:w="2000" w:type="dxa"/>
            <w:vAlign w:val="bottom"/>
            <w:tcBorders>
              <w:bottom w:val="single" w:sz="8" w:color="E3EAEE"/>
            </w:tcBorders>
            <w:shd w:val="clear" w:color="auto" w:fill="E3EAEE"/>
          </w:tcPr>
          <w:p>
            <w:pPr>
              <w:spacing w:after="0"/>
              <w:rPr>
                <w:sz w:val="21"/>
                <w:szCs w:val="21"/>
                <w:color w:val="auto"/>
              </w:rPr>
            </w:pPr>
          </w:p>
        </w:tc>
        <w:tc>
          <w:tcPr>
            <w:tcW w:w="100" w:type="dxa"/>
            <w:vAlign w:val="bottom"/>
            <w:tcBorders>
              <w:bottom w:val="single" w:sz="8" w:color="E3EAEE"/>
            </w:tcBorders>
            <w:shd w:val="clear" w:color="auto" w:fill="E3EAEE"/>
          </w:tcPr>
          <w:p>
            <w:pPr>
              <w:spacing w:after="0"/>
              <w:rPr>
                <w:sz w:val="21"/>
                <w:szCs w:val="21"/>
                <w:color w:val="auto"/>
              </w:rPr>
            </w:pPr>
          </w:p>
        </w:tc>
        <w:tc>
          <w:tcPr>
            <w:tcW w:w="1400" w:type="dxa"/>
            <w:vAlign w:val="bottom"/>
            <w:tcBorders>
              <w:bottom w:val="single" w:sz="8" w:color="1478A3"/>
            </w:tcBorders>
            <w:shd w:val="clear" w:color="auto" w:fill="E3EAEE"/>
          </w:tcPr>
          <w:p>
            <w:pPr>
              <w:spacing w:after="0"/>
              <w:rPr>
                <w:sz w:val="21"/>
                <w:szCs w:val="21"/>
                <w:color w:val="auto"/>
              </w:rPr>
            </w:pPr>
          </w:p>
        </w:tc>
        <w:tc>
          <w:tcPr>
            <w:tcW w:w="4140" w:type="dxa"/>
            <w:vAlign w:val="bottom"/>
            <w:tcBorders>
              <w:bottom w:val="single" w:sz="8" w:color="1478A3"/>
            </w:tcBorders>
            <w:gridSpan w:val="4"/>
            <w:shd w:val="clear" w:color="auto" w:fill="E3EAEE"/>
          </w:tcPr>
          <w:p>
            <w:pPr>
              <w:jc w:val="right"/>
              <w:ind w:right="499"/>
              <w:spacing w:after="0"/>
              <w:rPr>
                <w:sz w:val="20"/>
                <w:szCs w:val="20"/>
                <w:color w:val="auto"/>
              </w:rPr>
            </w:pPr>
            <w:r>
              <w:rPr>
                <w:rFonts w:ascii="Arial" w:cs="Arial" w:eastAsia="Arial" w:hAnsi="Arial"/>
                <w:sz w:val="16"/>
                <w:szCs w:val="16"/>
                <w:b w:val="1"/>
                <w:bCs w:val="1"/>
                <w:color w:val="1478A3"/>
              </w:rPr>
              <w:t>Common Stock, OP Units, and LTIP Units</w:t>
            </w:r>
          </w:p>
        </w:tc>
        <w:tc>
          <w:tcPr>
            <w:tcW w:w="1200" w:type="dxa"/>
            <w:vAlign w:val="bottom"/>
            <w:tcBorders>
              <w:bottom w:val="single" w:sz="8" w:color="1478A3"/>
            </w:tcBorders>
            <w:shd w:val="clear" w:color="auto" w:fill="E3EAEE"/>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tcBorders>
              <w:bottom w:val="single" w:sz="8" w:color="1478A3"/>
            </w:tcBorders>
            <w:gridSpan w:val="2"/>
            <w:shd w:val="clear" w:color="auto" w:fill="E3EAEE"/>
          </w:tcPr>
          <w:p>
            <w:pPr>
              <w:jc w:val="right"/>
              <w:ind w:right="439"/>
              <w:spacing w:after="0"/>
              <w:rPr>
                <w:sz w:val="20"/>
                <w:szCs w:val="20"/>
                <w:color w:val="auto"/>
              </w:rPr>
            </w:pPr>
            <w:r>
              <w:rPr>
                <w:rFonts w:ascii="Arial" w:cs="Arial" w:eastAsia="Arial" w:hAnsi="Arial"/>
                <w:sz w:val="16"/>
                <w:szCs w:val="16"/>
                <w:b w:val="1"/>
                <w:bCs w:val="1"/>
                <w:color w:val="1478A3"/>
              </w:rPr>
              <w:t>Preferred Stock</w:t>
            </w:r>
          </w:p>
        </w:tc>
        <w:tc>
          <w:tcPr>
            <w:tcW w:w="0" w:type="dxa"/>
            <w:vAlign w:val="bottom"/>
          </w:tcPr>
          <w:p>
            <w:pPr>
              <w:spacing w:after="0"/>
              <w:rPr>
                <w:sz w:val="1"/>
                <w:szCs w:val="1"/>
                <w:color w:val="auto"/>
              </w:rPr>
            </w:pPr>
          </w:p>
        </w:tc>
      </w:tr>
      <w:tr>
        <w:trPr>
          <w:trHeight w:val="196"/>
        </w:trPr>
        <w:tc>
          <w:tcPr>
            <w:tcW w:w="2000" w:type="dxa"/>
            <w:vAlign w:val="bottom"/>
            <w:shd w:val="clear" w:color="auto" w:fill="E3EAEE"/>
          </w:tcPr>
          <w:p>
            <w:pPr>
              <w:spacing w:after="0"/>
              <w:rPr>
                <w:sz w:val="17"/>
                <w:szCs w:val="17"/>
                <w:color w:val="auto"/>
              </w:rPr>
            </w:pPr>
          </w:p>
        </w:tc>
        <w:tc>
          <w:tcPr>
            <w:tcW w:w="100" w:type="dxa"/>
            <w:vAlign w:val="bottom"/>
            <w:shd w:val="clear" w:color="auto" w:fill="E3EAEE"/>
          </w:tcPr>
          <w:p>
            <w:pPr>
              <w:spacing w:after="0"/>
              <w:rPr>
                <w:sz w:val="17"/>
                <w:szCs w:val="17"/>
                <w:color w:val="auto"/>
              </w:rPr>
            </w:pPr>
          </w:p>
        </w:tc>
        <w:tc>
          <w:tcPr>
            <w:tcW w:w="1400" w:type="dxa"/>
            <w:vAlign w:val="bottom"/>
            <w:shd w:val="clear" w:color="auto" w:fill="E3EAEE"/>
          </w:tcPr>
          <w:p>
            <w:pPr>
              <w:spacing w:after="0"/>
              <w:rPr>
                <w:sz w:val="17"/>
                <w:szCs w:val="17"/>
                <w:color w:val="auto"/>
              </w:rPr>
            </w:pPr>
          </w:p>
        </w:tc>
        <w:tc>
          <w:tcPr>
            <w:tcW w:w="1120" w:type="dxa"/>
            <w:vAlign w:val="bottom"/>
            <w:shd w:val="clear" w:color="auto" w:fill="E3EAEE"/>
          </w:tcPr>
          <w:p>
            <w:pPr>
              <w:spacing w:after="0"/>
              <w:rPr>
                <w:sz w:val="17"/>
                <w:szCs w:val="17"/>
                <w:color w:val="auto"/>
              </w:rPr>
            </w:pP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Number of</w:t>
            </w:r>
          </w:p>
        </w:tc>
        <w:tc>
          <w:tcPr>
            <w:tcW w:w="260" w:type="dxa"/>
            <w:vAlign w:val="bottom"/>
            <w:shd w:val="clear" w:color="auto" w:fill="E3EAEE"/>
          </w:tcPr>
          <w:p>
            <w:pPr>
              <w:spacing w:after="0"/>
              <w:rPr>
                <w:sz w:val="17"/>
                <w:szCs w:val="17"/>
                <w:color w:val="auto"/>
              </w:rPr>
            </w:pPr>
          </w:p>
        </w:tc>
        <w:tc>
          <w:tcPr>
            <w:tcW w:w="1580" w:type="dxa"/>
            <w:vAlign w:val="bottom"/>
            <w:shd w:val="clear" w:color="auto" w:fill="E3EAEE"/>
          </w:tcPr>
          <w:p>
            <w:pPr>
              <w:jc w:val="right"/>
              <w:ind w:right="19"/>
              <w:spacing w:after="0"/>
              <w:rPr>
                <w:sz w:val="20"/>
                <w:szCs w:val="20"/>
                <w:color w:val="auto"/>
              </w:rPr>
            </w:pPr>
            <w:r>
              <w:rPr>
                <w:rFonts w:ascii="Arial" w:cs="Arial" w:eastAsia="Arial" w:hAnsi="Arial"/>
                <w:sz w:val="16"/>
                <w:szCs w:val="16"/>
                <w:b w:val="1"/>
                <w:bCs w:val="1"/>
                <w:color w:val="1478A3"/>
              </w:rPr>
              <w:t>Number of</w:t>
            </w:r>
          </w:p>
        </w:tc>
        <w:tc>
          <w:tcPr>
            <w:tcW w:w="1200" w:type="dxa"/>
            <w:vAlign w:val="bottom"/>
            <w:shd w:val="clear" w:color="auto" w:fill="E3EAE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shd w:val="clear" w:color="auto" w:fill="E3EAEE"/>
          </w:tcPr>
          <w:p>
            <w:pPr>
              <w:spacing w:after="0"/>
              <w:rPr>
                <w:sz w:val="17"/>
                <w:szCs w:val="17"/>
                <w:color w:val="auto"/>
              </w:rPr>
            </w:pPr>
          </w:p>
        </w:tc>
        <w:tc>
          <w:tcPr>
            <w:tcW w:w="1180" w:type="dxa"/>
            <w:vAlign w:val="bottom"/>
            <w:shd w:val="clear" w:color="auto" w:fill="E3EAE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E3EAEE"/>
          </w:tcPr>
          <w:p>
            <w:pPr>
              <w:spacing w:after="0"/>
              <w:rPr>
                <w:sz w:val="16"/>
                <w:szCs w:val="16"/>
                <w:color w:val="auto"/>
              </w:rPr>
            </w:pPr>
          </w:p>
        </w:tc>
        <w:tc>
          <w:tcPr>
            <w:tcW w:w="100" w:type="dxa"/>
            <w:vAlign w:val="bottom"/>
            <w:shd w:val="clear" w:color="auto" w:fill="E3EAEE"/>
          </w:tcPr>
          <w:p>
            <w:pPr>
              <w:spacing w:after="0"/>
              <w:rPr>
                <w:sz w:val="16"/>
                <w:szCs w:val="16"/>
                <w:color w:val="auto"/>
              </w:rPr>
            </w:pPr>
          </w:p>
        </w:tc>
        <w:tc>
          <w:tcPr>
            <w:tcW w:w="1400" w:type="dxa"/>
            <w:vAlign w:val="bottom"/>
            <w:shd w:val="clear" w:color="auto" w:fill="E3EAEE"/>
          </w:tcPr>
          <w:p>
            <w:pPr>
              <w:jc w:val="right"/>
              <w:ind w:right="239"/>
              <w:spacing w:after="0"/>
              <w:rPr>
                <w:sz w:val="20"/>
                <w:szCs w:val="20"/>
                <w:color w:val="auto"/>
              </w:rPr>
            </w:pPr>
            <w:r>
              <w:rPr>
                <w:rFonts w:ascii="Arial" w:cs="Arial" w:eastAsia="Arial" w:hAnsi="Arial"/>
                <w:sz w:val="16"/>
                <w:szCs w:val="16"/>
                <w:b w:val="1"/>
                <w:bCs w:val="1"/>
                <w:color w:val="1478A3"/>
              </w:rPr>
              <w:t>Number</w:t>
            </w:r>
          </w:p>
        </w:tc>
        <w:tc>
          <w:tcPr>
            <w:tcW w:w="1120" w:type="dxa"/>
            <w:vAlign w:val="bottom"/>
            <w:shd w:val="clear" w:color="auto" w:fill="E3EAEE"/>
          </w:tcPr>
          <w:p>
            <w:pPr>
              <w:spacing w:after="0"/>
              <w:rPr>
                <w:sz w:val="16"/>
                <w:szCs w:val="16"/>
                <w:color w:val="auto"/>
              </w:rPr>
            </w:pP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OP Units and</w:t>
            </w:r>
          </w:p>
        </w:tc>
        <w:tc>
          <w:tcPr>
            <w:tcW w:w="260" w:type="dxa"/>
            <w:vAlign w:val="bottom"/>
            <w:shd w:val="clear" w:color="auto" w:fill="E3EAEE"/>
          </w:tcPr>
          <w:p>
            <w:pPr>
              <w:spacing w:after="0"/>
              <w:rPr>
                <w:sz w:val="16"/>
                <w:szCs w:val="16"/>
                <w:color w:val="auto"/>
              </w:rPr>
            </w:pPr>
          </w:p>
        </w:tc>
        <w:tc>
          <w:tcPr>
            <w:tcW w:w="1580" w:type="dxa"/>
            <w:vAlign w:val="bottom"/>
            <w:shd w:val="clear" w:color="auto" w:fill="E3EAEE"/>
          </w:tcPr>
          <w:p>
            <w:pPr>
              <w:jc w:val="right"/>
              <w:ind w:right="59"/>
              <w:spacing w:after="0"/>
              <w:rPr>
                <w:sz w:val="20"/>
                <w:szCs w:val="20"/>
                <w:color w:val="auto"/>
              </w:rPr>
            </w:pPr>
            <w:r>
              <w:rPr>
                <w:rFonts w:ascii="Arial" w:cs="Arial" w:eastAsia="Arial" w:hAnsi="Arial"/>
                <w:sz w:val="16"/>
                <w:szCs w:val="16"/>
                <w:b w:val="1"/>
                <w:bCs w:val="1"/>
                <w:color w:val="1478A3"/>
              </w:rPr>
              <w:t>Common Shares,</w:t>
            </w:r>
          </w:p>
        </w:tc>
        <w:tc>
          <w:tcPr>
            <w:tcW w:w="120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 of All</w:t>
            </w:r>
          </w:p>
        </w:tc>
        <w:tc>
          <w:tcPr>
            <w:tcW w:w="140" w:type="dxa"/>
            <w:vAlign w:val="bottom"/>
          </w:tcPr>
          <w:p>
            <w:pPr>
              <w:spacing w:after="0"/>
              <w:rPr>
                <w:sz w:val="16"/>
                <w:szCs w:val="16"/>
                <w:color w:val="auto"/>
              </w:rPr>
            </w:pPr>
          </w:p>
        </w:tc>
        <w:tc>
          <w:tcPr>
            <w:tcW w:w="10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Number</w:t>
            </w:r>
          </w:p>
        </w:tc>
        <w:tc>
          <w:tcPr>
            <w:tcW w:w="1180" w:type="dxa"/>
            <w:vAlign w:val="bottom"/>
            <w:shd w:val="clear" w:color="auto" w:fill="E3EA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E3EAEE"/>
          </w:tcPr>
          <w:p>
            <w:pPr>
              <w:spacing w:after="0"/>
              <w:rPr>
                <w:sz w:val="16"/>
                <w:szCs w:val="16"/>
                <w:color w:val="auto"/>
              </w:rPr>
            </w:pPr>
          </w:p>
        </w:tc>
        <w:tc>
          <w:tcPr>
            <w:tcW w:w="100" w:type="dxa"/>
            <w:vAlign w:val="bottom"/>
            <w:shd w:val="clear" w:color="auto" w:fill="E3EAEE"/>
          </w:tcPr>
          <w:p>
            <w:pPr>
              <w:spacing w:after="0"/>
              <w:rPr>
                <w:sz w:val="16"/>
                <w:szCs w:val="16"/>
                <w:color w:val="auto"/>
              </w:rPr>
            </w:pPr>
          </w:p>
        </w:tc>
        <w:tc>
          <w:tcPr>
            <w:tcW w:w="1400" w:type="dxa"/>
            <w:vAlign w:val="bottom"/>
            <w:shd w:val="clear" w:color="auto" w:fill="E3EAEE"/>
          </w:tcPr>
          <w:p>
            <w:pPr>
              <w:jc w:val="right"/>
              <w:ind w:right="199"/>
              <w:spacing w:after="0"/>
              <w:rPr>
                <w:sz w:val="20"/>
                <w:szCs w:val="20"/>
                <w:color w:val="auto"/>
              </w:rPr>
            </w:pPr>
            <w:r>
              <w:rPr>
                <w:rFonts w:ascii="Arial" w:cs="Arial" w:eastAsia="Arial" w:hAnsi="Arial"/>
                <w:sz w:val="16"/>
                <w:szCs w:val="16"/>
                <w:b w:val="1"/>
                <w:bCs w:val="1"/>
                <w:color w:val="1478A3"/>
              </w:rPr>
              <w:t>of Common</w:t>
            </w:r>
          </w:p>
        </w:tc>
        <w:tc>
          <w:tcPr>
            <w:tcW w:w="1120" w:type="dxa"/>
            <w:vAlign w:val="bottom"/>
            <w:shd w:val="clear" w:color="auto" w:fill="E3EAEE"/>
          </w:tcPr>
          <w:p>
            <w:pPr>
              <w:spacing w:after="0"/>
              <w:rPr>
                <w:sz w:val="16"/>
                <w:szCs w:val="16"/>
                <w:color w:val="auto"/>
              </w:rPr>
            </w:pP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Time-Based</w:t>
            </w:r>
          </w:p>
        </w:tc>
        <w:tc>
          <w:tcPr>
            <w:tcW w:w="260" w:type="dxa"/>
            <w:vAlign w:val="bottom"/>
            <w:shd w:val="clear" w:color="auto" w:fill="E3EAEE"/>
          </w:tcPr>
          <w:p>
            <w:pPr>
              <w:spacing w:after="0"/>
              <w:rPr>
                <w:sz w:val="16"/>
                <w:szCs w:val="16"/>
                <w:color w:val="auto"/>
              </w:rPr>
            </w:pPr>
          </w:p>
        </w:tc>
        <w:tc>
          <w:tcPr>
            <w:tcW w:w="1580" w:type="dxa"/>
            <w:vAlign w:val="bottom"/>
            <w:shd w:val="clear" w:color="auto" w:fill="E3EAEE"/>
          </w:tcPr>
          <w:p>
            <w:pPr>
              <w:jc w:val="right"/>
              <w:ind w:right="19"/>
              <w:spacing w:after="0"/>
              <w:rPr>
                <w:sz w:val="20"/>
                <w:szCs w:val="20"/>
                <w:color w:val="auto"/>
              </w:rPr>
            </w:pPr>
            <w:r>
              <w:rPr>
                <w:rFonts w:ascii="Arial" w:cs="Arial" w:eastAsia="Arial" w:hAnsi="Arial"/>
                <w:sz w:val="16"/>
                <w:szCs w:val="16"/>
                <w:b w:val="1"/>
                <w:bCs w:val="1"/>
                <w:color w:val="1478A3"/>
              </w:rPr>
              <w:t>OP Units, and</w:t>
            </w:r>
          </w:p>
        </w:tc>
        <w:tc>
          <w:tcPr>
            <w:tcW w:w="120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Shares,</w:t>
            </w:r>
          </w:p>
        </w:tc>
        <w:tc>
          <w:tcPr>
            <w:tcW w:w="140" w:type="dxa"/>
            <w:vAlign w:val="bottom"/>
          </w:tcPr>
          <w:p>
            <w:pPr>
              <w:spacing w:after="0"/>
              <w:rPr>
                <w:sz w:val="16"/>
                <w:szCs w:val="16"/>
                <w:color w:val="auto"/>
              </w:rPr>
            </w:pPr>
          </w:p>
        </w:tc>
        <w:tc>
          <w:tcPr>
            <w:tcW w:w="10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of Preferred</w:t>
            </w:r>
          </w:p>
        </w:tc>
        <w:tc>
          <w:tcPr>
            <w:tcW w:w="1180" w:type="dxa"/>
            <w:vAlign w:val="bottom"/>
            <w:shd w:val="clear" w:color="auto" w:fill="E3EAE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E3EAEE"/>
          </w:tcPr>
          <w:p>
            <w:pPr>
              <w:spacing w:after="0"/>
              <w:rPr>
                <w:sz w:val="17"/>
                <w:szCs w:val="17"/>
                <w:color w:val="auto"/>
              </w:rPr>
            </w:pPr>
          </w:p>
        </w:tc>
        <w:tc>
          <w:tcPr>
            <w:tcW w:w="100" w:type="dxa"/>
            <w:vAlign w:val="bottom"/>
            <w:shd w:val="clear" w:color="auto" w:fill="E3EAEE"/>
          </w:tcPr>
          <w:p>
            <w:pPr>
              <w:spacing w:after="0"/>
              <w:rPr>
                <w:sz w:val="17"/>
                <w:szCs w:val="17"/>
                <w:color w:val="auto"/>
              </w:rPr>
            </w:pPr>
          </w:p>
        </w:tc>
        <w:tc>
          <w:tcPr>
            <w:tcW w:w="1400" w:type="dxa"/>
            <w:vAlign w:val="bottom"/>
            <w:shd w:val="clear" w:color="auto" w:fill="E3EAEE"/>
          </w:tcPr>
          <w:p>
            <w:pPr>
              <w:jc w:val="right"/>
              <w:ind w:right="239"/>
              <w:spacing w:after="0"/>
              <w:rPr>
                <w:sz w:val="20"/>
                <w:szCs w:val="20"/>
                <w:color w:val="auto"/>
              </w:rPr>
            </w:pPr>
            <w:r>
              <w:rPr>
                <w:rFonts w:ascii="Arial" w:cs="Arial" w:eastAsia="Arial" w:hAnsi="Arial"/>
                <w:sz w:val="16"/>
                <w:szCs w:val="16"/>
                <w:b w:val="1"/>
                <w:bCs w:val="1"/>
                <w:color w:val="1478A3"/>
              </w:rPr>
              <w:t>Shares</w:t>
            </w:r>
          </w:p>
        </w:tc>
        <w:tc>
          <w:tcPr>
            <w:tcW w:w="1120" w:type="dxa"/>
            <w:vAlign w:val="bottom"/>
            <w:shd w:val="clear" w:color="auto" w:fill="E3EAEE"/>
          </w:tcPr>
          <w:p>
            <w:pPr>
              <w:jc w:val="right"/>
              <w:ind w:right="59"/>
              <w:spacing w:after="0"/>
              <w:rPr>
                <w:sz w:val="20"/>
                <w:szCs w:val="20"/>
                <w:color w:val="auto"/>
              </w:rPr>
            </w:pPr>
            <w:r>
              <w:rPr>
                <w:rFonts w:ascii="Arial" w:cs="Arial" w:eastAsia="Arial" w:hAnsi="Arial"/>
                <w:sz w:val="16"/>
                <w:szCs w:val="16"/>
                <w:b w:val="1"/>
                <w:bCs w:val="1"/>
                <w:color w:val="1478A3"/>
              </w:rPr>
              <w:t>% of All</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LTIP Units</w:t>
            </w:r>
          </w:p>
        </w:tc>
        <w:tc>
          <w:tcPr>
            <w:tcW w:w="260" w:type="dxa"/>
            <w:vAlign w:val="bottom"/>
            <w:shd w:val="clear" w:color="auto" w:fill="E3EAEE"/>
          </w:tcPr>
          <w:p>
            <w:pPr>
              <w:spacing w:after="0"/>
              <w:rPr>
                <w:sz w:val="17"/>
                <w:szCs w:val="17"/>
                <w:color w:val="auto"/>
              </w:rPr>
            </w:pPr>
          </w:p>
        </w:tc>
        <w:tc>
          <w:tcPr>
            <w:tcW w:w="1580" w:type="dxa"/>
            <w:vAlign w:val="bottom"/>
            <w:shd w:val="clear" w:color="auto" w:fill="E3EAEE"/>
          </w:tcPr>
          <w:p>
            <w:pPr>
              <w:jc w:val="right"/>
              <w:ind w:right="19"/>
              <w:spacing w:after="0"/>
              <w:rPr>
                <w:sz w:val="20"/>
                <w:szCs w:val="20"/>
                <w:color w:val="auto"/>
              </w:rPr>
            </w:pPr>
            <w:r>
              <w:rPr>
                <w:rFonts w:ascii="Arial" w:cs="Arial" w:eastAsia="Arial" w:hAnsi="Arial"/>
                <w:sz w:val="16"/>
                <w:szCs w:val="16"/>
                <w:b w:val="1"/>
                <w:bCs w:val="1"/>
                <w:color w:val="1478A3"/>
              </w:rPr>
              <w:t>Time-Based LTIP</w:t>
            </w:r>
          </w:p>
        </w:tc>
        <w:tc>
          <w:tcPr>
            <w:tcW w:w="120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OP Units, and</w:t>
            </w:r>
          </w:p>
        </w:tc>
        <w:tc>
          <w:tcPr>
            <w:tcW w:w="140" w:type="dxa"/>
            <w:vAlign w:val="bottom"/>
          </w:tcPr>
          <w:p>
            <w:pPr>
              <w:spacing w:after="0"/>
              <w:rPr>
                <w:sz w:val="17"/>
                <w:szCs w:val="17"/>
                <w:color w:val="auto"/>
              </w:rPr>
            </w:pPr>
          </w:p>
        </w:tc>
        <w:tc>
          <w:tcPr>
            <w:tcW w:w="10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Shares</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 of All</w:t>
            </w:r>
          </w:p>
        </w:tc>
        <w:tc>
          <w:tcPr>
            <w:tcW w:w="0" w:type="dxa"/>
            <w:vAlign w:val="bottom"/>
          </w:tcPr>
          <w:p>
            <w:pPr>
              <w:spacing w:after="0"/>
              <w:rPr>
                <w:sz w:val="1"/>
                <w:szCs w:val="1"/>
                <w:color w:val="auto"/>
              </w:rPr>
            </w:pPr>
          </w:p>
        </w:tc>
      </w:tr>
      <w:tr>
        <w:trPr>
          <w:trHeight w:val="189"/>
        </w:trPr>
        <w:tc>
          <w:tcPr>
            <w:tcW w:w="2000" w:type="dxa"/>
            <w:vAlign w:val="bottom"/>
            <w:vMerge w:val="restart"/>
            <w:shd w:val="clear" w:color="auto" w:fill="E3EAEE"/>
          </w:tcPr>
          <w:p>
            <w:pPr>
              <w:ind w:left="140"/>
              <w:spacing w:after="0"/>
              <w:rPr>
                <w:sz w:val="20"/>
                <w:szCs w:val="20"/>
                <w:color w:val="auto"/>
              </w:rPr>
            </w:pPr>
            <w:r>
              <w:rPr>
                <w:rFonts w:ascii="Arial" w:cs="Arial" w:eastAsia="Arial" w:hAnsi="Arial"/>
                <w:sz w:val="16"/>
                <w:szCs w:val="16"/>
                <w:b w:val="1"/>
                <w:bCs w:val="1"/>
                <w:color w:val="1478A3"/>
              </w:rPr>
              <w:t>Name</w:t>
            </w:r>
          </w:p>
        </w:tc>
        <w:tc>
          <w:tcPr>
            <w:tcW w:w="100" w:type="dxa"/>
            <w:vAlign w:val="bottom"/>
            <w:shd w:val="clear" w:color="auto" w:fill="E3EAEE"/>
          </w:tcPr>
          <w:p>
            <w:pPr>
              <w:spacing w:after="0"/>
              <w:rPr>
                <w:sz w:val="16"/>
                <w:szCs w:val="16"/>
                <w:color w:val="auto"/>
              </w:rPr>
            </w:pPr>
          </w:p>
        </w:tc>
        <w:tc>
          <w:tcPr>
            <w:tcW w:w="1400" w:type="dxa"/>
            <w:vAlign w:val="bottom"/>
            <w:shd w:val="clear" w:color="auto" w:fill="E3EAEE"/>
          </w:tcPr>
          <w:p>
            <w:pPr>
              <w:jc w:val="right"/>
              <w:ind w:right="199"/>
              <w:spacing w:after="0"/>
              <w:rPr>
                <w:sz w:val="20"/>
                <w:szCs w:val="20"/>
                <w:color w:val="auto"/>
              </w:rPr>
            </w:pPr>
            <w:r>
              <w:rPr>
                <w:rFonts w:ascii="Arial" w:cs="Arial" w:eastAsia="Arial" w:hAnsi="Arial"/>
                <w:sz w:val="16"/>
                <w:szCs w:val="16"/>
                <w:b w:val="1"/>
                <w:bCs w:val="1"/>
                <w:color w:val="1478A3"/>
              </w:rPr>
              <w:t>Beneficially</w:t>
            </w:r>
          </w:p>
        </w:tc>
        <w:tc>
          <w:tcPr>
            <w:tcW w:w="1120" w:type="dxa"/>
            <w:vAlign w:val="bottom"/>
            <w:shd w:val="clear" w:color="auto" w:fill="E3EAEE"/>
          </w:tcPr>
          <w:p>
            <w:pPr>
              <w:jc w:val="right"/>
              <w:ind w:right="59"/>
              <w:spacing w:after="0"/>
              <w:rPr>
                <w:sz w:val="20"/>
                <w:szCs w:val="20"/>
                <w:color w:val="auto"/>
              </w:rPr>
            </w:pPr>
            <w:r>
              <w:rPr>
                <w:rFonts w:ascii="Arial" w:cs="Arial" w:eastAsia="Arial" w:hAnsi="Arial"/>
                <w:sz w:val="16"/>
                <w:szCs w:val="16"/>
                <w:b w:val="1"/>
                <w:bCs w:val="1"/>
                <w:color w:val="1478A3"/>
              </w:rPr>
              <w:t>Common</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Beneficially</w:t>
            </w:r>
          </w:p>
        </w:tc>
        <w:tc>
          <w:tcPr>
            <w:tcW w:w="260" w:type="dxa"/>
            <w:vAlign w:val="bottom"/>
            <w:shd w:val="clear" w:color="auto" w:fill="E3EAEE"/>
          </w:tcPr>
          <w:p>
            <w:pPr>
              <w:spacing w:after="0"/>
              <w:rPr>
                <w:sz w:val="16"/>
                <w:szCs w:val="16"/>
                <w:color w:val="auto"/>
              </w:rPr>
            </w:pPr>
          </w:p>
        </w:tc>
        <w:tc>
          <w:tcPr>
            <w:tcW w:w="1580" w:type="dxa"/>
            <w:vAlign w:val="bottom"/>
            <w:shd w:val="clear" w:color="auto" w:fill="E3EAEE"/>
          </w:tcPr>
          <w:p>
            <w:pPr>
              <w:jc w:val="right"/>
              <w:ind w:right="19"/>
              <w:spacing w:after="0"/>
              <w:rPr>
                <w:sz w:val="20"/>
                <w:szCs w:val="20"/>
                <w:color w:val="auto"/>
              </w:rPr>
            </w:pPr>
            <w:r>
              <w:rPr>
                <w:rFonts w:ascii="Arial" w:cs="Arial" w:eastAsia="Arial" w:hAnsi="Arial"/>
                <w:sz w:val="16"/>
                <w:szCs w:val="16"/>
                <w:b w:val="1"/>
                <w:bCs w:val="1"/>
                <w:color w:val="1478A3"/>
              </w:rPr>
              <w:t>Units Beneficially</w:t>
            </w:r>
          </w:p>
        </w:tc>
        <w:tc>
          <w:tcPr>
            <w:tcW w:w="120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Time-Based</w:t>
            </w:r>
          </w:p>
        </w:tc>
        <w:tc>
          <w:tcPr>
            <w:tcW w:w="140" w:type="dxa"/>
            <w:vAlign w:val="bottom"/>
          </w:tcPr>
          <w:p>
            <w:pPr>
              <w:spacing w:after="0"/>
              <w:rPr>
                <w:sz w:val="16"/>
                <w:szCs w:val="16"/>
                <w:color w:val="auto"/>
              </w:rPr>
            </w:pPr>
          </w:p>
        </w:tc>
        <w:tc>
          <w:tcPr>
            <w:tcW w:w="10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Beneficially</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Preferred</w:t>
            </w:r>
          </w:p>
        </w:tc>
        <w:tc>
          <w:tcPr>
            <w:tcW w:w="0" w:type="dxa"/>
            <w:vAlign w:val="bottom"/>
          </w:tcPr>
          <w:p>
            <w:pPr>
              <w:spacing w:after="0"/>
              <w:rPr>
                <w:sz w:val="1"/>
                <w:szCs w:val="1"/>
                <w:color w:val="auto"/>
              </w:rPr>
            </w:pPr>
          </w:p>
        </w:tc>
      </w:tr>
      <w:tr>
        <w:trPr>
          <w:trHeight w:val="298"/>
        </w:trPr>
        <w:tc>
          <w:tcPr>
            <w:tcW w:w="2000" w:type="dxa"/>
            <w:vAlign w:val="bottom"/>
            <w:tcBorders>
              <w:bottom w:val="single" w:sz="8" w:color="E3EAEE"/>
            </w:tcBorders>
            <w:vMerge w:val="continue"/>
            <w:shd w:val="clear" w:color="auto" w:fill="E3EAEE"/>
          </w:tcPr>
          <w:p>
            <w:pPr>
              <w:spacing w:after="0"/>
              <w:rPr>
                <w:sz w:val="24"/>
                <w:szCs w:val="24"/>
                <w:color w:val="auto"/>
              </w:rPr>
            </w:pPr>
          </w:p>
        </w:tc>
        <w:tc>
          <w:tcPr>
            <w:tcW w:w="100" w:type="dxa"/>
            <w:vAlign w:val="bottom"/>
            <w:tcBorders>
              <w:bottom w:val="single" w:sz="8" w:color="E3EAEE"/>
            </w:tcBorders>
            <w:shd w:val="clear" w:color="auto" w:fill="E3EAEE"/>
          </w:tcPr>
          <w:p>
            <w:pPr>
              <w:spacing w:after="0"/>
              <w:rPr>
                <w:sz w:val="24"/>
                <w:szCs w:val="24"/>
                <w:color w:val="auto"/>
              </w:rPr>
            </w:pPr>
          </w:p>
        </w:tc>
        <w:tc>
          <w:tcPr>
            <w:tcW w:w="1400" w:type="dxa"/>
            <w:vAlign w:val="bottom"/>
            <w:tcBorders>
              <w:bottom w:val="single" w:sz="8" w:color="E3EAEE"/>
            </w:tcBorders>
            <w:shd w:val="clear" w:color="auto" w:fill="E3EAEE"/>
          </w:tcPr>
          <w:p>
            <w:pPr>
              <w:jc w:val="right"/>
              <w:ind w:right="199"/>
              <w:spacing w:after="0"/>
              <w:rPr>
                <w:sz w:val="20"/>
                <w:szCs w:val="20"/>
                <w:color w:val="auto"/>
              </w:rPr>
            </w:pPr>
            <w:r>
              <w:rPr>
                <w:rFonts w:ascii="Arial" w:cs="Arial" w:eastAsia="Arial" w:hAnsi="Arial"/>
                <w:sz w:val="16"/>
                <w:szCs w:val="16"/>
                <w:b w:val="1"/>
                <w:bCs w:val="1"/>
                <w:color w:val="1478A3"/>
              </w:rPr>
              <w:t>Owned</w:t>
            </w:r>
          </w:p>
        </w:tc>
        <w:tc>
          <w:tcPr>
            <w:tcW w:w="1120" w:type="dxa"/>
            <w:vAlign w:val="bottom"/>
            <w:tcBorders>
              <w:bottom w:val="single" w:sz="8" w:color="E3EAEE"/>
            </w:tcBorders>
            <w:shd w:val="clear" w:color="auto" w:fill="E3EAEE"/>
          </w:tcPr>
          <w:p>
            <w:pPr>
              <w:jc w:val="right"/>
              <w:ind w:right="59"/>
              <w:spacing w:after="0"/>
              <w:rPr>
                <w:sz w:val="20"/>
                <w:szCs w:val="20"/>
                <w:color w:val="auto"/>
              </w:rPr>
            </w:pPr>
            <w:r>
              <w:rPr>
                <w:rFonts w:ascii="Arial" w:cs="Arial" w:eastAsia="Arial" w:hAnsi="Arial"/>
                <w:sz w:val="16"/>
                <w:szCs w:val="16"/>
                <w:b w:val="1"/>
                <w:bCs w:val="1"/>
                <w:color w:val="1478A3"/>
              </w:rPr>
              <w:t>Shares</w:t>
            </w:r>
            <w:r>
              <w:rPr>
                <w:rFonts w:ascii="Arial" w:cs="Arial" w:eastAsia="Arial" w:hAnsi="Arial"/>
                <w:sz w:val="21"/>
                <w:szCs w:val="21"/>
                <w:b w:val="1"/>
                <w:bCs w:val="1"/>
                <w:color w:val="1478A3"/>
                <w:vertAlign w:val="superscript"/>
              </w:rPr>
              <w:t>(1)</w:t>
            </w:r>
          </w:p>
        </w:tc>
        <w:tc>
          <w:tcPr>
            <w:tcW w:w="118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b w:val="1"/>
                <w:bCs w:val="1"/>
                <w:color w:val="1478A3"/>
              </w:rPr>
              <w:t>Owned</w:t>
            </w:r>
          </w:p>
        </w:tc>
        <w:tc>
          <w:tcPr>
            <w:tcW w:w="260" w:type="dxa"/>
            <w:vAlign w:val="bottom"/>
            <w:tcBorders>
              <w:bottom w:val="single" w:sz="8" w:color="E3EAEE"/>
            </w:tcBorders>
            <w:shd w:val="clear" w:color="auto" w:fill="E3EAEE"/>
          </w:tcPr>
          <w:p>
            <w:pPr>
              <w:spacing w:after="0"/>
              <w:rPr>
                <w:sz w:val="24"/>
                <w:szCs w:val="24"/>
                <w:color w:val="auto"/>
              </w:rPr>
            </w:pPr>
          </w:p>
        </w:tc>
        <w:tc>
          <w:tcPr>
            <w:tcW w:w="1580" w:type="dxa"/>
            <w:vAlign w:val="bottom"/>
            <w:tcBorders>
              <w:bottom w:val="single" w:sz="8" w:color="E3EAEE"/>
            </w:tcBorders>
            <w:shd w:val="clear" w:color="auto" w:fill="E3EAEE"/>
          </w:tcPr>
          <w:p>
            <w:pPr>
              <w:jc w:val="right"/>
              <w:ind w:right="19"/>
              <w:spacing w:after="0"/>
              <w:rPr>
                <w:sz w:val="20"/>
                <w:szCs w:val="20"/>
                <w:color w:val="auto"/>
              </w:rPr>
            </w:pPr>
            <w:r>
              <w:rPr>
                <w:rFonts w:ascii="Arial" w:cs="Arial" w:eastAsia="Arial" w:hAnsi="Arial"/>
                <w:sz w:val="16"/>
                <w:szCs w:val="16"/>
                <w:b w:val="1"/>
                <w:bCs w:val="1"/>
                <w:color w:val="1478A3"/>
              </w:rPr>
              <w:t>Owned</w:t>
            </w:r>
          </w:p>
        </w:tc>
        <w:tc>
          <w:tcPr>
            <w:tcW w:w="120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b w:val="1"/>
                <w:bCs w:val="1"/>
                <w:color w:val="1478A3"/>
              </w:rPr>
              <w:t>LTIP Units</w:t>
            </w:r>
            <w:r>
              <w:rPr>
                <w:rFonts w:ascii="Arial" w:cs="Arial" w:eastAsia="Arial" w:hAnsi="Arial"/>
                <w:sz w:val="21"/>
                <w:szCs w:val="21"/>
                <w:b w:val="1"/>
                <w:bCs w:val="1"/>
                <w:color w:val="1478A3"/>
                <w:vertAlign w:val="superscript"/>
              </w:rPr>
              <w:t>(1)(2)</w:t>
            </w:r>
          </w:p>
        </w:tc>
        <w:tc>
          <w:tcPr>
            <w:tcW w:w="140" w:type="dxa"/>
            <w:vAlign w:val="bottom"/>
          </w:tcPr>
          <w:p>
            <w:pPr>
              <w:spacing w:after="0"/>
              <w:rPr>
                <w:sz w:val="24"/>
                <w:szCs w:val="24"/>
                <w:color w:val="auto"/>
              </w:rPr>
            </w:pPr>
          </w:p>
        </w:tc>
        <w:tc>
          <w:tcPr>
            <w:tcW w:w="108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b w:val="1"/>
                <w:bCs w:val="1"/>
                <w:color w:val="1478A3"/>
              </w:rPr>
              <w:t>Owned</w:t>
            </w:r>
          </w:p>
        </w:tc>
        <w:tc>
          <w:tcPr>
            <w:tcW w:w="118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b w:val="1"/>
                <w:bCs w:val="1"/>
                <w:color w:val="1478A3"/>
              </w:rPr>
              <w:t>Shares</w:t>
            </w:r>
            <w:r>
              <w:rPr>
                <w:rFonts w:ascii="Arial" w:cs="Arial" w:eastAsia="Arial" w:hAnsi="Arial"/>
                <w:sz w:val="21"/>
                <w:szCs w:val="21"/>
                <w:b w:val="1"/>
                <w:bCs w:val="1"/>
                <w:color w:val="1478A3"/>
                <w:vertAlign w:val="superscript"/>
              </w:rPr>
              <w:t>(3)</w:t>
            </w:r>
          </w:p>
        </w:tc>
        <w:tc>
          <w:tcPr>
            <w:tcW w:w="0" w:type="dxa"/>
            <w:vAlign w:val="bottom"/>
          </w:tcPr>
          <w:p>
            <w:pPr>
              <w:spacing w:after="0"/>
              <w:rPr>
                <w:sz w:val="1"/>
                <w:szCs w:val="1"/>
                <w:color w:val="auto"/>
              </w:rPr>
            </w:pPr>
          </w:p>
        </w:tc>
      </w:tr>
      <w:tr>
        <w:trPr>
          <w:trHeight w:val="229"/>
        </w:trPr>
        <w:tc>
          <w:tcPr>
            <w:tcW w:w="2000" w:type="dxa"/>
            <w:vAlign w:val="bottom"/>
            <w:tcBorders>
              <w:top w:val="single" w:sz="8" w:color="1478A3"/>
            </w:tcBorders>
          </w:tcPr>
          <w:p>
            <w:pPr>
              <w:ind w:left="180"/>
              <w:spacing w:after="0"/>
              <w:rPr>
                <w:sz w:val="20"/>
                <w:szCs w:val="20"/>
                <w:color w:val="auto"/>
              </w:rPr>
            </w:pPr>
            <w:r>
              <w:rPr>
                <w:rFonts w:ascii="Arial" w:cs="Arial" w:eastAsia="Arial" w:hAnsi="Arial"/>
                <w:sz w:val="16"/>
                <w:szCs w:val="16"/>
                <w:b w:val="1"/>
                <w:bCs w:val="1"/>
                <w:color w:val="3E474E"/>
              </w:rPr>
              <w:t>Directors and NEOs:</w:t>
            </w:r>
          </w:p>
        </w:tc>
        <w:tc>
          <w:tcPr>
            <w:tcW w:w="100" w:type="dxa"/>
            <w:vAlign w:val="bottom"/>
          </w:tcPr>
          <w:p>
            <w:pPr>
              <w:spacing w:after="0"/>
              <w:rPr>
                <w:sz w:val="19"/>
                <w:szCs w:val="19"/>
                <w:color w:val="auto"/>
              </w:rPr>
            </w:pPr>
          </w:p>
        </w:tc>
        <w:tc>
          <w:tcPr>
            <w:tcW w:w="1400" w:type="dxa"/>
            <w:vAlign w:val="bottom"/>
            <w:tcBorders>
              <w:top w:val="single" w:sz="8" w:color="1478A3"/>
            </w:tcBorders>
          </w:tcPr>
          <w:p>
            <w:pPr>
              <w:spacing w:after="0"/>
              <w:rPr>
                <w:sz w:val="19"/>
                <w:szCs w:val="19"/>
                <w:color w:val="auto"/>
              </w:rPr>
            </w:pPr>
          </w:p>
        </w:tc>
        <w:tc>
          <w:tcPr>
            <w:tcW w:w="1120" w:type="dxa"/>
            <w:vAlign w:val="bottom"/>
            <w:tcBorders>
              <w:top w:val="single" w:sz="8" w:color="1478A3"/>
            </w:tcBorders>
          </w:tcPr>
          <w:p>
            <w:pPr>
              <w:spacing w:after="0"/>
              <w:rPr>
                <w:sz w:val="19"/>
                <w:szCs w:val="19"/>
                <w:color w:val="auto"/>
              </w:rPr>
            </w:pPr>
          </w:p>
        </w:tc>
        <w:tc>
          <w:tcPr>
            <w:tcW w:w="1180" w:type="dxa"/>
            <w:vAlign w:val="bottom"/>
            <w:tcBorders>
              <w:top w:val="single" w:sz="8" w:color="1478A3"/>
            </w:tcBorders>
          </w:tcPr>
          <w:p>
            <w:pPr>
              <w:spacing w:after="0"/>
              <w:rPr>
                <w:sz w:val="19"/>
                <w:szCs w:val="19"/>
                <w:color w:val="auto"/>
              </w:rPr>
            </w:pPr>
          </w:p>
        </w:tc>
        <w:tc>
          <w:tcPr>
            <w:tcW w:w="260" w:type="dxa"/>
            <w:vAlign w:val="bottom"/>
            <w:tcBorders>
              <w:top w:val="single" w:sz="8" w:color="1478A3"/>
            </w:tcBorders>
          </w:tcPr>
          <w:p>
            <w:pPr>
              <w:spacing w:after="0"/>
              <w:rPr>
                <w:sz w:val="19"/>
                <w:szCs w:val="19"/>
                <w:color w:val="auto"/>
              </w:rPr>
            </w:pPr>
          </w:p>
        </w:tc>
        <w:tc>
          <w:tcPr>
            <w:tcW w:w="1580" w:type="dxa"/>
            <w:vAlign w:val="bottom"/>
            <w:tcBorders>
              <w:top w:val="single" w:sz="8" w:color="1478A3"/>
            </w:tcBorders>
          </w:tcPr>
          <w:p>
            <w:pPr>
              <w:spacing w:after="0"/>
              <w:rPr>
                <w:sz w:val="19"/>
                <w:szCs w:val="19"/>
                <w:color w:val="auto"/>
              </w:rPr>
            </w:pPr>
          </w:p>
        </w:tc>
        <w:tc>
          <w:tcPr>
            <w:tcW w:w="1200" w:type="dxa"/>
            <w:vAlign w:val="bottom"/>
            <w:tcBorders>
              <w:top w:val="single" w:sz="8" w:color="1478A3"/>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1478A3"/>
            </w:tcBorders>
          </w:tcPr>
          <w:p>
            <w:pPr>
              <w:spacing w:after="0"/>
              <w:rPr>
                <w:sz w:val="19"/>
                <w:szCs w:val="19"/>
                <w:color w:val="auto"/>
              </w:rPr>
            </w:pPr>
          </w:p>
        </w:tc>
        <w:tc>
          <w:tcPr>
            <w:tcW w:w="1180" w:type="dxa"/>
            <w:vAlign w:val="bottom"/>
            <w:tcBorders>
              <w:top w:val="single" w:sz="8" w:color="1478A3"/>
            </w:tcBorders>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0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1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gridSpan w:val="2"/>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0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George A. Allen</w:t>
            </w:r>
          </w:p>
        </w:tc>
        <w:tc>
          <w:tcPr>
            <w:tcW w:w="1500" w:type="dxa"/>
            <w:vAlign w:val="bottom"/>
            <w:gridSpan w:val="2"/>
            <w:shd w:val="clear" w:color="auto" w:fill="E3EAEE"/>
          </w:tcPr>
          <w:p>
            <w:pPr>
              <w:jc w:val="right"/>
              <w:ind w:right="259"/>
              <w:spacing w:after="0"/>
              <w:rPr>
                <w:sz w:val="20"/>
                <w:szCs w:val="20"/>
                <w:color w:val="auto"/>
              </w:rPr>
            </w:pPr>
            <w:r>
              <w:rPr>
                <w:rFonts w:ascii="Arial" w:cs="Arial" w:eastAsia="Arial" w:hAnsi="Arial"/>
                <w:sz w:val="16"/>
                <w:szCs w:val="16"/>
                <w:color w:val="3E474E"/>
              </w:rPr>
              <w:t>29,676</w:t>
            </w:r>
          </w:p>
        </w:tc>
        <w:tc>
          <w:tcPr>
            <w:tcW w:w="1120" w:type="dxa"/>
            <w:vAlign w:val="bottom"/>
            <w:shd w:val="clear" w:color="auto" w:fill="E3EAEE"/>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17,564</w:t>
            </w:r>
          </w:p>
        </w:tc>
        <w:tc>
          <w:tcPr>
            <w:tcW w:w="260" w:type="dxa"/>
            <w:vAlign w:val="bottom"/>
            <w:shd w:val="clear" w:color="auto" w:fill="E3EAEE"/>
          </w:tcPr>
          <w:p>
            <w:pPr>
              <w:spacing w:after="0"/>
              <w:rPr>
                <w:sz w:val="21"/>
                <w:szCs w:val="21"/>
                <w:color w:val="auto"/>
              </w:rPr>
            </w:pPr>
          </w:p>
        </w:tc>
        <w:tc>
          <w:tcPr>
            <w:tcW w:w="1580" w:type="dxa"/>
            <w:vAlign w:val="bottom"/>
            <w:shd w:val="clear" w:color="auto" w:fill="E3EAEE"/>
          </w:tcPr>
          <w:p>
            <w:pPr>
              <w:jc w:val="right"/>
              <w:ind w:right="79"/>
              <w:spacing w:after="0"/>
              <w:rPr>
                <w:sz w:val="20"/>
                <w:szCs w:val="20"/>
                <w:color w:val="auto"/>
              </w:rPr>
            </w:pPr>
            <w:r>
              <w:rPr>
                <w:rFonts w:ascii="Arial" w:cs="Arial" w:eastAsia="Arial" w:hAnsi="Arial"/>
                <w:sz w:val="16"/>
                <w:szCs w:val="16"/>
                <w:color w:val="3E474E"/>
              </w:rPr>
              <w:t>47,240</w:t>
            </w:r>
          </w:p>
        </w:tc>
        <w:tc>
          <w:tcPr>
            <w:tcW w:w="12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1220" w:type="dxa"/>
            <w:vAlign w:val="bottom"/>
            <w:gridSpan w:val="2"/>
            <w:shd w:val="clear" w:color="auto" w:fill="E3EAEE"/>
          </w:tcPr>
          <w:p>
            <w:pPr>
              <w:jc w:val="right"/>
              <w:spacing w:after="0"/>
              <w:rPr>
                <w:sz w:val="20"/>
                <w:szCs w:val="20"/>
                <w:color w:val="auto"/>
              </w:rPr>
            </w:pPr>
            <w:r>
              <w:rPr>
                <w:rFonts w:ascii="Arial" w:cs="Arial" w:eastAsia="Arial" w:hAnsi="Arial"/>
                <w:sz w:val="16"/>
                <w:szCs w:val="16"/>
                <w:color w:val="3E474E"/>
              </w:rPr>
              <w:t>2,000</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43"/>
        </w:trPr>
        <w:tc>
          <w:tcPr>
            <w:tcW w:w="2000" w:type="dxa"/>
            <w:vAlign w:val="bottom"/>
          </w:tcPr>
          <w:p>
            <w:pPr>
              <w:ind w:left="80"/>
              <w:spacing w:after="0"/>
              <w:rPr>
                <w:sz w:val="20"/>
                <w:szCs w:val="20"/>
                <w:color w:val="auto"/>
              </w:rPr>
            </w:pPr>
            <w:r>
              <w:rPr>
                <w:rFonts w:ascii="Arial" w:cs="Arial" w:eastAsia="Arial" w:hAnsi="Arial"/>
                <w:sz w:val="16"/>
                <w:szCs w:val="16"/>
                <w:color w:val="3E474E"/>
              </w:rPr>
              <w:t>Eric E. Apperson</w:t>
            </w:r>
            <w:r>
              <w:rPr>
                <w:rFonts w:ascii="Arial" w:cs="Arial" w:eastAsia="Arial" w:hAnsi="Arial"/>
                <w:sz w:val="21"/>
                <w:szCs w:val="21"/>
                <w:color w:val="3E474E"/>
                <w:vertAlign w:val="superscript"/>
              </w:rPr>
              <w:t>(4)</w:t>
            </w:r>
          </w:p>
        </w:tc>
        <w:tc>
          <w:tcPr>
            <w:tcW w:w="1500" w:type="dxa"/>
            <w:vAlign w:val="bottom"/>
            <w:gridSpan w:val="2"/>
          </w:tcPr>
          <w:p>
            <w:pPr>
              <w:jc w:val="right"/>
              <w:ind w:right="259"/>
              <w:spacing w:after="0"/>
              <w:rPr>
                <w:sz w:val="20"/>
                <w:szCs w:val="20"/>
                <w:color w:val="auto"/>
              </w:rPr>
            </w:pPr>
            <w:r>
              <w:rPr>
                <w:rFonts w:ascii="Arial" w:cs="Arial" w:eastAsia="Arial" w:hAnsi="Arial"/>
                <w:sz w:val="16"/>
                <w:szCs w:val="16"/>
                <w:color w:val="3E474E"/>
              </w:rPr>
              <w:t>10,648</w:t>
            </w:r>
          </w:p>
        </w:tc>
        <w:tc>
          <w:tcPr>
            <w:tcW w:w="1120" w:type="dxa"/>
            <w:vAlign w:val="bottom"/>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tcPr>
          <w:p>
            <w:pPr>
              <w:jc w:val="right"/>
              <w:spacing w:after="0"/>
              <w:rPr>
                <w:sz w:val="20"/>
                <w:szCs w:val="20"/>
                <w:color w:val="auto"/>
              </w:rPr>
            </w:pPr>
            <w:r>
              <w:rPr>
                <w:rFonts w:ascii="Arial" w:cs="Arial" w:eastAsia="Arial" w:hAnsi="Arial"/>
                <w:sz w:val="16"/>
                <w:szCs w:val="16"/>
                <w:color w:val="3E474E"/>
              </w:rPr>
              <w:t>285,988</w:t>
            </w:r>
          </w:p>
        </w:tc>
        <w:tc>
          <w:tcPr>
            <w:tcW w:w="26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3E474E"/>
              </w:rPr>
              <w:t>296,636</w:t>
            </w:r>
          </w:p>
        </w:tc>
        <w:tc>
          <w:tcPr>
            <w:tcW w:w="1200" w:type="dxa"/>
            <w:vAlign w:val="bottom"/>
          </w:tcPr>
          <w:p>
            <w:pPr>
              <w:jc w:val="right"/>
              <w:spacing w:after="0"/>
              <w:rPr>
                <w:sz w:val="20"/>
                <w:szCs w:val="20"/>
                <w:color w:val="auto"/>
              </w:rPr>
            </w:pPr>
            <w:r>
              <w:rPr>
                <w:rFonts w:ascii="Arial" w:cs="Arial" w:eastAsia="Arial" w:hAnsi="Arial"/>
                <w:sz w:val="16"/>
                <w:szCs w:val="16"/>
                <w:color w:val="3E474E"/>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3E474E"/>
              </w:rPr>
              <w:t>—</w:t>
            </w:r>
          </w:p>
        </w:tc>
        <w:tc>
          <w:tcPr>
            <w:tcW w:w="1180" w:type="dxa"/>
            <w:vAlign w:val="bottom"/>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43"/>
        </w:trPr>
        <w:tc>
          <w:tcPr>
            <w:tcW w:w="200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Matthew T. Barnes-Smith</w:t>
            </w:r>
          </w:p>
        </w:tc>
        <w:tc>
          <w:tcPr>
            <w:tcW w:w="1500" w:type="dxa"/>
            <w:vAlign w:val="bottom"/>
            <w:gridSpan w:val="2"/>
            <w:shd w:val="clear" w:color="auto" w:fill="E3EAEE"/>
          </w:tcPr>
          <w:p>
            <w:pPr>
              <w:jc w:val="right"/>
              <w:ind w:right="259"/>
              <w:spacing w:after="0"/>
              <w:rPr>
                <w:sz w:val="20"/>
                <w:szCs w:val="20"/>
                <w:color w:val="auto"/>
              </w:rPr>
            </w:pPr>
            <w:r>
              <w:rPr>
                <w:rFonts w:ascii="Arial" w:cs="Arial" w:eastAsia="Arial" w:hAnsi="Arial"/>
                <w:sz w:val="16"/>
                <w:szCs w:val="16"/>
                <w:color w:val="3E474E"/>
              </w:rPr>
              <w:t>10,131</w:t>
            </w:r>
          </w:p>
        </w:tc>
        <w:tc>
          <w:tcPr>
            <w:tcW w:w="1120" w:type="dxa"/>
            <w:vAlign w:val="bottom"/>
            <w:shd w:val="clear" w:color="auto" w:fill="E3EAEE"/>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346,845</w:t>
            </w:r>
          </w:p>
        </w:tc>
        <w:tc>
          <w:tcPr>
            <w:tcW w:w="260" w:type="dxa"/>
            <w:vAlign w:val="bottom"/>
            <w:shd w:val="clear" w:color="auto" w:fill="E3EAEE"/>
          </w:tcPr>
          <w:p>
            <w:pPr>
              <w:spacing w:after="0"/>
              <w:rPr>
                <w:sz w:val="21"/>
                <w:szCs w:val="21"/>
                <w:color w:val="auto"/>
              </w:rPr>
            </w:pPr>
          </w:p>
        </w:tc>
        <w:tc>
          <w:tcPr>
            <w:tcW w:w="1580" w:type="dxa"/>
            <w:vAlign w:val="bottom"/>
            <w:shd w:val="clear" w:color="auto" w:fill="E3EAEE"/>
          </w:tcPr>
          <w:p>
            <w:pPr>
              <w:jc w:val="right"/>
              <w:ind w:right="79"/>
              <w:spacing w:after="0"/>
              <w:rPr>
                <w:sz w:val="20"/>
                <w:szCs w:val="20"/>
                <w:color w:val="auto"/>
              </w:rPr>
            </w:pPr>
            <w:r>
              <w:rPr>
                <w:rFonts w:ascii="Arial" w:cs="Arial" w:eastAsia="Arial" w:hAnsi="Arial"/>
                <w:sz w:val="16"/>
                <w:szCs w:val="16"/>
                <w:color w:val="3E474E"/>
              </w:rPr>
              <w:t>356,976</w:t>
            </w:r>
          </w:p>
        </w:tc>
        <w:tc>
          <w:tcPr>
            <w:tcW w:w="12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140" w:type="dxa"/>
            <w:vAlign w:val="bottom"/>
            <w:shd w:val="clear" w:color="auto" w:fill="E3EAEE"/>
          </w:tcPr>
          <w:p>
            <w:pPr>
              <w:spacing w:after="0"/>
              <w:rPr>
                <w:sz w:val="21"/>
                <w:szCs w:val="21"/>
                <w:color w:val="auto"/>
              </w:rPr>
            </w:pPr>
          </w:p>
        </w:tc>
        <w:tc>
          <w:tcPr>
            <w:tcW w:w="10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35"/>
        </w:trPr>
        <w:tc>
          <w:tcPr>
            <w:tcW w:w="2000" w:type="dxa"/>
            <w:vAlign w:val="bottom"/>
          </w:tcPr>
          <w:p>
            <w:pPr>
              <w:ind w:left="20"/>
              <w:spacing w:after="0"/>
              <w:rPr>
                <w:sz w:val="20"/>
                <w:szCs w:val="20"/>
                <w:color w:val="auto"/>
              </w:rPr>
            </w:pPr>
            <w:r>
              <w:rPr>
                <w:rFonts w:ascii="Arial" w:cs="Arial" w:eastAsia="Arial" w:hAnsi="Arial"/>
                <w:sz w:val="16"/>
                <w:szCs w:val="16"/>
                <w:color w:val="3E474E"/>
              </w:rPr>
              <w:t>Theodore R. Bigman</w:t>
            </w:r>
          </w:p>
        </w:tc>
        <w:tc>
          <w:tcPr>
            <w:tcW w:w="100" w:type="dxa"/>
            <w:vAlign w:val="bottom"/>
          </w:tcPr>
          <w:p>
            <w:pPr>
              <w:spacing w:after="0"/>
              <w:rPr>
                <w:sz w:val="20"/>
                <w:szCs w:val="20"/>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color w:val="3E474E"/>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tcPr>
          <w:p>
            <w:pPr>
              <w:jc w:val="right"/>
              <w:spacing w:after="0"/>
              <w:rPr>
                <w:sz w:val="20"/>
                <w:szCs w:val="20"/>
                <w:color w:val="auto"/>
              </w:rPr>
            </w:pPr>
            <w:r>
              <w:rPr>
                <w:rFonts w:ascii="Arial" w:cs="Arial" w:eastAsia="Arial" w:hAnsi="Arial"/>
                <w:sz w:val="16"/>
                <w:szCs w:val="16"/>
                <w:color w:val="3E474E"/>
              </w:rPr>
              <w:t>—</w:t>
            </w:r>
          </w:p>
        </w:tc>
        <w:tc>
          <w:tcPr>
            <w:tcW w:w="2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3E474E"/>
              </w:rPr>
              <w:t>—</w:t>
            </w:r>
          </w:p>
        </w:tc>
        <w:tc>
          <w:tcPr>
            <w:tcW w:w="1200" w:type="dxa"/>
            <w:vAlign w:val="bottom"/>
          </w:tcPr>
          <w:p>
            <w:pPr>
              <w:jc w:val="right"/>
              <w:spacing w:after="0"/>
              <w:rPr>
                <w:sz w:val="20"/>
                <w:szCs w:val="20"/>
                <w:color w:val="auto"/>
              </w:rPr>
            </w:pPr>
            <w:r>
              <w:rPr>
                <w:rFonts w:ascii="Arial" w:cs="Arial" w:eastAsia="Arial" w:hAnsi="Arial"/>
                <w:sz w:val="16"/>
                <w:szCs w:val="16"/>
                <w:color w:val="3E474E"/>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3E474E"/>
              </w:rPr>
              <w:t>—</w:t>
            </w:r>
          </w:p>
        </w:tc>
        <w:tc>
          <w:tcPr>
            <w:tcW w:w="1180" w:type="dxa"/>
            <w:vAlign w:val="bottom"/>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51"/>
        </w:trPr>
        <w:tc>
          <w:tcPr>
            <w:tcW w:w="200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Jennifer R. Boykin</w:t>
            </w:r>
          </w:p>
        </w:tc>
        <w:tc>
          <w:tcPr>
            <w:tcW w:w="100" w:type="dxa"/>
            <w:vAlign w:val="bottom"/>
            <w:shd w:val="clear" w:color="auto" w:fill="E3EAEE"/>
          </w:tcPr>
          <w:p>
            <w:pPr>
              <w:spacing w:after="0"/>
              <w:rPr>
                <w:sz w:val="21"/>
                <w:szCs w:val="21"/>
                <w:color w:val="auto"/>
              </w:rPr>
            </w:pPr>
          </w:p>
        </w:tc>
        <w:tc>
          <w:tcPr>
            <w:tcW w:w="1400" w:type="dxa"/>
            <w:vAlign w:val="bottom"/>
            <w:shd w:val="clear" w:color="auto" w:fill="E3EAEE"/>
          </w:tcPr>
          <w:p>
            <w:pPr>
              <w:jc w:val="right"/>
              <w:ind w:right="259"/>
              <w:spacing w:after="0"/>
              <w:rPr>
                <w:sz w:val="20"/>
                <w:szCs w:val="20"/>
                <w:color w:val="auto"/>
              </w:rPr>
            </w:pPr>
            <w:r>
              <w:rPr>
                <w:rFonts w:ascii="Arial" w:cs="Arial" w:eastAsia="Arial" w:hAnsi="Arial"/>
                <w:sz w:val="16"/>
                <w:szCs w:val="16"/>
                <w:color w:val="3E474E"/>
              </w:rPr>
              <w:t>—</w:t>
            </w:r>
          </w:p>
        </w:tc>
        <w:tc>
          <w:tcPr>
            <w:tcW w:w="1120" w:type="dxa"/>
            <w:vAlign w:val="bottom"/>
            <w:shd w:val="clear" w:color="auto" w:fill="E3EAEE"/>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9,637</w:t>
            </w:r>
          </w:p>
        </w:tc>
        <w:tc>
          <w:tcPr>
            <w:tcW w:w="260" w:type="dxa"/>
            <w:vAlign w:val="bottom"/>
            <w:shd w:val="clear" w:color="auto" w:fill="E3EAEE"/>
          </w:tcPr>
          <w:p>
            <w:pPr>
              <w:spacing w:after="0"/>
              <w:rPr>
                <w:sz w:val="21"/>
                <w:szCs w:val="21"/>
                <w:color w:val="auto"/>
              </w:rPr>
            </w:pPr>
          </w:p>
        </w:tc>
        <w:tc>
          <w:tcPr>
            <w:tcW w:w="1580" w:type="dxa"/>
            <w:vAlign w:val="bottom"/>
            <w:shd w:val="clear" w:color="auto" w:fill="E3EAEE"/>
          </w:tcPr>
          <w:p>
            <w:pPr>
              <w:jc w:val="right"/>
              <w:ind w:right="79"/>
              <w:spacing w:after="0"/>
              <w:rPr>
                <w:sz w:val="20"/>
                <w:szCs w:val="20"/>
                <w:color w:val="auto"/>
              </w:rPr>
            </w:pPr>
            <w:r>
              <w:rPr>
                <w:rFonts w:ascii="Arial" w:cs="Arial" w:eastAsia="Arial" w:hAnsi="Arial"/>
                <w:sz w:val="16"/>
                <w:szCs w:val="16"/>
                <w:color w:val="3E474E"/>
              </w:rPr>
              <w:t>9,637</w:t>
            </w:r>
          </w:p>
        </w:tc>
        <w:tc>
          <w:tcPr>
            <w:tcW w:w="12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140" w:type="dxa"/>
            <w:vAlign w:val="bottom"/>
            <w:shd w:val="clear" w:color="auto" w:fill="E3EAEE"/>
          </w:tcPr>
          <w:p>
            <w:pPr>
              <w:spacing w:after="0"/>
              <w:rPr>
                <w:sz w:val="21"/>
                <w:szCs w:val="21"/>
                <w:color w:val="auto"/>
              </w:rPr>
            </w:pPr>
          </w:p>
        </w:tc>
        <w:tc>
          <w:tcPr>
            <w:tcW w:w="10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39"/>
        </w:trPr>
        <w:tc>
          <w:tcPr>
            <w:tcW w:w="2000" w:type="dxa"/>
            <w:vAlign w:val="bottom"/>
          </w:tcPr>
          <w:p>
            <w:pPr>
              <w:ind w:left="20"/>
              <w:spacing w:after="0"/>
              <w:rPr>
                <w:sz w:val="20"/>
                <w:szCs w:val="20"/>
                <w:color w:val="auto"/>
              </w:rPr>
            </w:pPr>
            <w:r>
              <w:rPr>
                <w:rFonts w:ascii="Arial" w:cs="Arial" w:eastAsia="Arial" w:hAnsi="Arial"/>
                <w:sz w:val="16"/>
                <w:szCs w:val="16"/>
                <w:color w:val="3E474E"/>
              </w:rPr>
              <w:t>James A. Carroll</w:t>
            </w:r>
          </w:p>
        </w:tc>
        <w:tc>
          <w:tcPr>
            <w:tcW w:w="1500" w:type="dxa"/>
            <w:vAlign w:val="bottom"/>
            <w:gridSpan w:val="2"/>
          </w:tcPr>
          <w:p>
            <w:pPr>
              <w:jc w:val="right"/>
              <w:ind w:right="259"/>
              <w:spacing w:after="0"/>
              <w:rPr>
                <w:sz w:val="20"/>
                <w:szCs w:val="20"/>
                <w:color w:val="auto"/>
              </w:rPr>
            </w:pPr>
            <w:r>
              <w:rPr>
                <w:rFonts w:ascii="Arial" w:cs="Arial" w:eastAsia="Arial" w:hAnsi="Arial"/>
                <w:sz w:val="16"/>
                <w:szCs w:val="16"/>
                <w:color w:val="3E474E"/>
              </w:rPr>
              <w:t>42,918</w:t>
            </w:r>
          </w:p>
        </w:tc>
        <w:tc>
          <w:tcPr>
            <w:tcW w:w="1120" w:type="dxa"/>
            <w:vAlign w:val="bottom"/>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tcPr>
          <w:p>
            <w:pPr>
              <w:jc w:val="right"/>
              <w:spacing w:after="0"/>
              <w:rPr>
                <w:sz w:val="20"/>
                <w:szCs w:val="20"/>
                <w:color w:val="auto"/>
              </w:rPr>
            </w:pPr>
            <w:r>
              <w:rPr>
                <w:rFonts w:ascii="Arial" w:cs="Arial" w:eastAsia="Arial" w:hAnsi="Arial"/>
                <w:sz w:val="16"/>
                <w:szCs w:val="16"/>
                <w:color w:val="3E474E"/>
              </w:rPr>
              <w:t>17,564</w:t>
            </w:r>
          </w:p>
        </w:tc>
        <w:tc>
          <w:tcPr>
            <w:tcW w:w="2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3E474E"/>
              </w:rPr>
              <w:t>60,482</w:t>
            </w:r>
          </w:p>
        </w:tc>
        <w:tc>
          <w:tcPr>
            <w:tcW w:w="1200" w:type="dxa"/>
            <w:vAlign w:val="bottom"/>
          </w:tcPr>
          <w:p>
            <w:pPr>
              <w:jc w:val="right"/>
              <w:spacing w:after="0"/>
              <w:rPr>
                <w:sz w:val="20"/>
                <w:szCs w:val="20"/>
                <w:color w:val="auto"/>
              </w:rPr>
            </w:pPr>
            <w:r>
              <w:rPr>
                <w:rFonts w:ascii="Arial" w:cs="Arial" w:eastAsia="Arial" w:hAnsi="Arial"/>
                <w:sz w:val="16"/>
                <w:szCs w:val="16"/>
                <w:color w:val="3E474E"/>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47"/>
        </w:trPr>
        <w:tc>
          <w:tcPr>
            <w:tcW w:w="200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James C. Cherry</w:t>
            </w:r>
          </w:p>
        </w:tc>
        <w:tc>
          <w:tcPr>
            <w:tcW w:w="1500" w:type="dxa"/>
            <w:vAlign w:val="bottom"/>
            <w:gridSpan w:val="2"/>
            <w:shd w:val="clear" w:color="auto" w:fill="E3EAEE"/>
          </w:tcPr>
          <w:p>
            <w:pPr>
              <w:jc w:val="right"/>
              <w:ind w:right="259"/>
              <w:spacing w:after="0"/>
              <w:rPr>
                <w:sz w:val="20"/>
                <w:szCs w:val="20"/>
                <w:color w:val="auto"/>
              </w:rPr>
            </w:pPr>
            <w:r>
              <w:rPr>
                <w:rFonts w:ascii="Arial" w:cs="Arial" w:eastAsia="Arial" w:hAnsi="Arial"/>
                <w:sz w:val="16"/>
                <w:szCs w:val="16"/>
                <w:color w:val="3E474E"/>
              </w:rPr>
              <w:t>52,342</w:t>
            </w:r>
          </w:p>
        </w:tc>
        <w:tc>
          <w:tcPr>
            <w:tcW w:w="1120" w:type="dxa"/>
            <w:vAlign w:val="bottom"/>
            <w:shd w:val="clear" w:color="auto" w:fill="E3EAEE"/>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17,564</w:t>
            </w:r>
          </w:p>
        </w:tc>
        <w:tc>
          <w:tcPr>
            <w:tcW w:w="260" w:type="dxa"/>
            <w:vAlign w:val="bottom"/>
            <w:shd w:val="clear" w:color="auto" w:fill="E3EAEE"/>
          </w:tcPr>
          <w:p>
            <w:pPr>
              <w:spacing w:after="0"/>
              <w:rPr>
                <w:sz w:val="21"/>
                <w:szCs w:val="21"/>
                <w:color w:val="auto"/>
              </w:rPr>
            </w:pPr>
          </w:p>
        </w:tc>
        <w:tc>
          <w:tcPr>
            <w:tcW w:w="1580" w:type="dxa"/>
            <w:vAlign w:val="bottom"/>
            <w:shd w:val="clear" w:color="auto" w:fill="E3EAEE"/>
          </w:tcPr>
          <w:p>
            <w:pPr>
              <w:jc w:val="right"/>
              <w:ind w:right="79"/>
              <w:spacing w:after="0"/>
              <w:rPr>
                <w:sz w:val="20"/>
                <w:szCs w:val="20"/>
                <w:color w:val="auto"/>
              </w:rPr>
            </w:pPr>
            <w:r>
              <w:rPr>
                <w:rFonts w:ascii="Arial" w:cs="Arial" w:eastAsia="Arial" w:hAnsi="Arial"/>
                <w:sz w:val="16"/>
                <w:szCs w:val="16"/>
                <w:color w:val="3E474E"/>
              </w:rPr>
              <w:t>69,906</w:t>
            </w:r>
          </w:p>
        </w:tc>
        <w:tc>
          <w:tcPr>
            <w:tcW w:w="12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1220" w:type="dxa"/>
            <w:vAlign w:val="bottom"/>
            <w:gridSpan w:val="2"/>
            <w:shd w:val="clear" w:color="auto" w:fill="E3EAEE"/>
          </w:tcPr>
          <w:p>
            <w:pPr>
              <w:jc w:val="right"/>
              <w:spacing w:after="0"/>
              <w:rPr>
                <w:sz w:val="20"/>
                <w:szCs w:val="20"/>
                <w:color w:val="auto"/>
              </w:rPr>
            </w:pPr>
            <w:r>
              <w:rPr>
                <w:rFonts w:ascii="Arial" w:cs="Arial" w:eastAsia="Arial" w:hAnsi="Arial"/>
                <w:sz w:val="16"/>
                <w:szCs w:val="16"/>
                <w:color w:val="3E474E"/>
              </w:rPr>
              <w:t>12,000</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35"/>
        </w:trPr>
        <w:tc>
          <w:tcPr>
            <w:tcW w:w="2000" w:type="dxa"/>
            <w:vAlign w:val="bottom"/>
          </w:tcPr>
          <w:p>
            <w:pPr>
              <w:ind w:left="20"/>
              <w:spacing w:after="0"/>
              <w:rPr>
                <w:sz w:val="20"/>
                <w:szCs w:val="20"/>
                <w:color w:val="auto"/>
              </w:rPr>
            </w:pPr>
            <w:r>
              <w:rPr>
                <w:rFonts w:ascii="Arial" w:cs="Arial" w:eastAsia="Arial" w:hAnsi="Arial"/>
                <w:sz w:val="16"/>
                <w:szCs w:val="16"/>
                <w:color w:val="3E474E"/>
              </w:rPr>
              <w:t>Dennis H. Gartman</w:t>
            </w:r>
          </w:p>
        </w:tc>
        <w:tc>
          <w:tcPr>
            <w:tcW w:w="1500" w:type="dxa"/>
            <w:vAlign w:val="bottom"/>
            <w:gridSpan w:val="2"/>
          </w:tcPr>
          <w:p>
            <w:pPr>
              <w:jc w:val="right"/>
              <w:ind w:right="259"/>
              <w:spacing w:after="0"/>
              <w:rPr>
                <w:sz w:val="20"/>
                <w:szCs w:val="20"/>
                <w:color w:val="auto"/>
              </w:rPr>
            </w:pPr>
            <w:r>
              <w:rPr>
                <w:rFonts w:ascii="Arial" w:cs="Arial" w:eastAsia="Arial" w:hAnsi="Arial"/>
                <w:sz w:val="16"/>
                <w:szCs w:val="16"/>
                <w:color w:val="3E474E"/>
              </w:rPr>
              <w:t>50,774</w:t>
            </w:r>
          </w:p>
        </w:tc>
        <w:tc>
          <w:tcPr>
            <w:tcW w:w="1120" w:type="dxa"/>
            <w:vAlign w:val="bottom"/>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tcPr>
          <w:p>
            <w:pPr>
              <w:jc w:val="right"/>
              <w:spacing w:after="0"/>
              <w:rPr>
                <w:sz w:val="20"/>
                <w:szCs w:val="20"/>
                <w:color w:val="auto"/>
              </w:rPr>
            </w:pPr>
            <w:r>
              <w:rPr>
                <w:rFonts w:ascii="Arial" w:cs="Arial" w:eastAsia="Arial" w:hAnsi="Arial"/>
                <w:sz w:val="16"/>
                <w:szCs w:val="16"/>
                <w:color w:val="3E474E"/>
              </w:rPr>
              <w:t>—</w:t>
            </w:r>
          </w:p>
        </w:tc>
        <w:tc>
          <w:tcPr>
            <w:tcW w:w="2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3E474E"/>
              </w:rPr>
              <w:t>50,774</w:t>
            </w:r>
          </w:p>
        </w:tc>
        <w:tc>
          <w:tcPr>
            <w:tcW w:w="1200" w:type="dxa"/>
            <w:vAlign w:val="bottom"/>
          </w:tcPr>
          <w:p>
            <w:pPr>
              <w:jc w:val="right"/>
              <w:spacing w:after="0"/>
              <w:rPr>
                <w:sz w:val="20"/>
                <w:szCs w:val="20"/>
                <w:color w:val="auto"/>
              </w:rPr>
            </w:pPr>
            <w:r>
              <w:rPr>
                <w:rFonts w:ascii="Arial" w:cs="Arial" w:eastAsia="Arial" w:hAnsi="Arial"/>
                <w:sz w:val="16"/>
                <w:szCs w:val="16"/>
                <w:color w:val="3E474E"/>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3E474E"/>
              </w:rPr>
              <w:t>—</w:t>
            </w:r>
          </w:p>
        </w:tc>
        <w:tc>
          <w:tcPr>
            <w:tcW w:w="1180" w:type="dxa"/>
            <w:vAlign w:val="bottom"/>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51"/>
        </w:trPr>
        <w:tc>
          <w:tcPr>
            <w:tcW w:w="200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Louis S. Haddad</w:t>
            </w:r>
          </w:p>
        </w:tc>
        <w:tc>
          <w:tcPr>
            <w:tcW w:w="1500" w:type="dxa"/>
            <w:vAlign w:val="bottom"/>
            <w:gridSpan w:val="2"/>
            <w:shd w:val="clear" w:color="auto" w:fill="E3EAEE"/>
          </w:tcPr>
          <w:p>
            <w:pPr>
              <w:jc w:val="right"/>
              <w:ind w:right="259"/>
              <w:spacing w:after="0"/>
              <w:rPr>
                <w:sz w:val="20"/>
                <w:szCs w:val="20"/>
                <w:color w:val="auto"/>
              </w:rPr>
            </w:pPr>
            <w:r>
              <w:rPr>
                <w:rFonts w:ascii="Arial" w:cs="Arial" w:eastAsia="Arial" w:hAnsi="Arial"/>
                <w:sz w:val="16"/>
                <w:szCs w:val="16"/>
                <w:color w:val="3E474E"/>
              </w:rPr>
              <w:t>295,781</w:t>
            </w:r>
          </w:p>
        </w:tc>
        <w:tc>
          <w:tcPr>
            <w:tcW w:w="1120" w:type="dxa"/>
            <w:vAlign w:val="bottom"/>
            <w:shd w:val="clear" w:color="auto" w:fill="E3EAEE"/>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2,108,918</w:t>
            </w:r>
          </w:p>
        </w:tc>
        <w:tc>
          <w:tcPr>
            <w:tcW w:w="260" w:type="dxa"/>
            <w:vAlign w:val="bottom"/>
            <w:shd w:val="clear" w:color="auto" w:fill="E3EAEE"/>
          </w:tcPr>
          <w:p>
            <w:pPr>
              <w:jc w:val="right"/>
              <w:ind w:right="67"/>
              <w:spacing w:after="0"/>
              <w:rPr>
                <w:sz w:val="20"/>
                <w:szCs w:val="20"/>
                <w:color w:val="auto"/>
              </w:rPr>
            </w:pPr>
            <w:r>
              <w:rPr>
                <w:rFonts w:ascii="Arial" w:cs="Arial" w:eastAsia="Arial" w:hAnsi="Arial"/>
                <w:sz w:val="11"/>
                <w:szCs w:val="11"/>
                <w:color w:val="3E474E"/>
                <w:w w:val="88"/>
              </w:rPr>
              <w:t>(5)</w:t>
            </w:r>
          </w:p>
        </w:tc>
        <w:tc>
          <w:tcPr>
            <w:tcW w:w="1580" w:type="dxa"/>
            <w:vAlign w:val="bottom"/>
            <w:shd w:val="clear" w:color="auto" w:fill="E3EAEE"/>
          </w:tcPr>
          <w:p>
            <w:pPr>
              <w:jc w:val="right"/>
              <w:ind w:right="79"/>
              <w:spacing w:after="0"/>
              <w:rPr>
                <w:sz w:val="20"/>
                <w:szCs w:val="20"/>
                <w:color w:val="auto"/>
              </w:rPr>
            </w:pPr>
            <w:r>
              <w:rPr>
                <w:rFonts w:ascii="Arial" w:cs="Arial" w:eastAsia="Arial" w:hAnsi="Arial"/>
                <w:sz w:val="16"/>
                <w:szCs w:val="16"/>
                <w:color w:val="3E474E"/>
              </w:rPr>
              <w:t>2,404,699</w:t>
            </w:r>
          </w:p>
        </w:tc>
        <w:tc>
          <w:tcPr>
            <w:tcW w:w="12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2.5 %</w:t>
            </w:r>
          </w:p>
        </w:tc>
        <w:tc>
          <w:tcPr>
            <w:tcW w:w="1220" w:type="dxa"/>
            <w:vAlign w:val="bottom"/>
            <w:gridSpan w:val="2"/>
            <w:shd w:val="clear" w:color="auto" w:fill="E3EAEE"/>
          </w:tcPr>
          <w:p>
            <w:pPr>
              <w:jc w:val="right"/>
              <w:spacing w:after="0"/>
              <w:rPr>
                <w:sz w:val="20"/>
                <w:szCs w:val="20"/>
                <w:color w:val="auto"/>
              </w:rPr>
            </w:pPr>
            <w:r>
              <w:rPr>
                <w:rFonts w:ascii="Arial" w:cs="Arial" w:eastAsia="Arial" w:hAnsi="Arial"/>
                <w:sz w:val="16"/>
                <w:szCs w:val="16"/>
                <w:color w:val="3E474E"/>
              </w:rPr>
              <w:t>5,000</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35"/>
        </w:trPr>
        <w:tc>
          <w:tcPr>
            <w:tcW w:w="2000" w:type="dxa"/>
            <w:vAlign w:val="bottom"/>
          </w:tcPr>
          <w:p>
            <w:pPr>
              <w:ind w:left="20"/>
              <w:spacing w:after="0"/>
              <w:rPr>
                <w:sz w:val="20"/>
                <w:szCs w:val="20"/>
                <w:color w:val="auto"/>
              </w:rPr>
            </w:pPr>
            <w:r>
              <w:rPr>
                <w:rFonts w:ascii="Arial" w:cs="Arial" w:eastAsia="Arial" w:hAnsi="Arial"/>
                <w:sz w:val="16"/>
                <w:szCs w:val="16"/>
                <w:color w:val="3E474E"/>
              </w:rPr>
              <w:t>Daniel A. Hoffler</w:t>
            </w:r>
          </w:p>
        </w:tc>
        <w:tc>
          <w:tcPr>
            <w:tcW w:w="1500" w:type="dxa"/>
            <w:vAlign w:val="bottom"/>
            <w:gridSpan w:val="2"/>
          </w:tcPr>
          <w:p>
            <w:pPr>
              <w:jc w:val="right"/>
              <w:ind w:right="259"/>
              <w:spacing w:after="0"/>
              <w:rPr>
                <w:sz w:val="20"/>
                <w:szCs w:val="20"/>
                <w:color w:val="auto"/>
              </w:rPr>
            </w:pPr>
            <w:r>
              <w:rPr>
                <w:rFonts w:ascii="Arial" w:cs="Arial" w:eastAsia="Arial" w:hAnsi="Arial"/>
                <w:sz w:val="16"/>
                <w:szCs w:val="16"/>
                <w:color w:val="3E474E"/>
              </w:rPr>
              <w:t>266,647</w:t>
            </w:r>
          </w:p>
        </w:tc>
        <w:tc>
          <w:tcPr>
            <w:tcW w:w="1120" w:type="dxa"/>
            <w:vAlign w:val="bottom"/>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tcPr>
          <w:p>
            <w:pPr>
              <w:jc w:val="right"/>
              <w:spacing w:after="0"/>
              <w:rPr>
                <w:sz w:val="20"/>
                <w:szCs w:val="20"/>
                <w:color w:val="auto"/>
              </w:rPr>
            </w:pPr>
            <w:r>
              <w:rPr>
                <w:rFonts w:ascii="Arial" w:cs="Arial" w:eastAsia="Arial" w:hAnsi="Arial"/>
                <w:sz w:val="16"/>
                <w:szCs w:val="16"/>
                <w:color w:val="3E474E"/>
              </w:rPr>
              <w:t>5,001,182</w:t>
            </w:r>
          </w:p>
        </w:tc>
        <w:tc>
          <w:tcPr>
            <w:tcW w:w="260" w:type="dxa"/>
            <w:vAlign w:val="bottom"/>
          </w:tcPr>
          <w:p>
            <w:pPr>
              <w:jc w:val="right"/>
              <w:ind w:right="67"/>
              <w:spacing w:after="0"/>
              <w:rPr>
                <w:sz w:val="20"/>
                <w:szCs w:val="20"/>
                <w:color w:val="auto"/>
              </w:rPr>
            </w:pPr>
            <w:r>
              <w:rPr>
                <w:rFonts w:ascii="Arial" w:cs="Arial" w:eastAsia="Arial" w:hAnsi="Arial"/>
                <w:sz w:val="11"/>
                <w:szCs w:val="11"/>
                <w:color w:val="3E474E"/>
                <w:w w:val="88"/>
              </w:rPr>
              <w:t>(6)</w:t>
            </w:r>
          </w:p>
        </w:tc>
        <w:tc>
          <w:tcPr>
            <w:tcW w:w="1580" w:type="dxa"/>
            <w:vAlign w:val="bottom"/>
          </w:tcPr>
          <w:p>
            <w:pPr>
              <w:jc w:val="right"/>
              <w:ind w:right="79"/>
              <w:spacing w:after="0"/>
              <w:rPr>
                <w:sz w:val="20"/>
                <w:szCs w:val="20"/>
                <w:color w:val="auto"/>
              </w:rPr>
            </w:pPr>
            <w:r>
              <w:rPr>
                <w:rFonts w:ascii="Arial" w:cs="Arial" w:eastAsia="Arial" w:hAnsi="Arial"/>
                <w:sz w:val="16"/>
                <w:szCs w:val="16"/>
                <w:color w:val="3E474E"/>
              </w:rPr>
              <w:t>5,267,829</w:t>
            </w:r>
          </w:p>
        </w:tc>
        <w:tc>
          <w:tcPr>
            <w:tcW w:w="1200" w:type="dxa"/>
            <w:vAlign w:val="bottom"/>
          </w:tcPr>
          <w:p>
            <w:pPr>
              <w:jc w:val="right"/>
              <w:spacing w:after="0"/>
              <w:rPr>
                <w:sz w:val="20"/>
                <w:szCs w:val="20"/>
                <w:color w:val="auto"/>
              </w:rPr>
            </w:pPr>
            <w:r>
              <w:rPr>
                <w:rFonts w:ascii="Arial" w:cs="Arial" w:eastAsia="Arial" w:hAnsi="Arial"/>
                <w:sz w:val="16"/>
                <w:szCs w:val="16"/>
                <w:color w:val="3E474E"/>
              </w:rPr>
              <w:t>5.4 %</w:t>
            </w:r>
          </w:p>
        </w:tc>
        <w:tc>
          <w:tcPr>
            <w:tcW w:w="1220" w:type="dxa"/>
            <w:vAlign w:val="bottom"/>
            <w:gridSpan w:val="2"/>
          </w:tcPr>
          <w:p>
            <w:pPr>
              <w:jc w:val="right"/>
              <w:spacing w:after="0"/>
              <w:rPr>
                <w:sz w:val="20"/>
                <w:szCs w:val="20"/>
                <w:color w:val="auto"/>
              </w:rPr>
            </w:pPr>
            <w:r>
              <w:rPr>
                <w:rFonts w:ascii="Arial" w:cs="Arial" w:eastAsia="Arial" w:hAnsi="Arial"/>
                <w:sz w:val="16"/>
                <w:szCs w:val="16"/>
                <w:color w:val="3E474E"/>
              </w:rPr>
              <w:t>4,000</w:t>
            </w:r>
          </w:p>
        </w:tc>
        <w:tc>
          <w:tcPr>
            <w:tcW w:w="1180" w:type="dxa"/>
            <w:vAlign w:val="bottom"/>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51"/>
        </w:trPr>
        <w:tc>
          <w:tcPr>
            <w:tcW w:w="200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Shawn J. Tibbetts</w:t>
            </w:r>
          </w:p>
        </w:tc>
        <w:tc>
          <w:tcPr>
            <w:tcW w:w="1500" w:type="dxa"/>
            <w:vAlign w:val="bottom"/>
            <w:gridSpan w:val="2"/>
            <w:shd w:val="clear" w:color="auto" w:fill="E3EAEE"/>
          </w:tcPr>
          <w:p>
            <w:pPr>
              <w:jc w:val="right"/>
              <w:ind w:right="259"/>
              <w:spacing w:after="0"/>
              <w:rPr>
                <w:sz w:val="20"/>
                <w:szCs w:val="20"/>
                <w:color w:val="auto"/>
              </w:rPr>
            </w:pPr>
            <w:r>
              <w:rPr>
                <w:rFonts w:ascii="Arial" w:cs="Arial" w:eastAsia="Arial" w:hAnsi="Arial"/>
                <w:sz w:val="16"/>
                <w:szCs w:val="16"/>
                <w:color w:val="3E474E"/>
              </w:rPr>
              <w:t>57,518</w:t>
            </w:r>
          </w:p>
        </w:tc>
        <w:tc>
          <w:tcPr>
            <w:tcW w:w="1120" w:type="dxa"/>
            <w:vAlign w:val="bottom"/>
            <w:shd w:val="clear" w:color="auto" w:fill="E3EAEE"/>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709,791</w:t>
            </w:r>
          </w:p>
        </w:tc>
        <w:tc>
          <w:tcPr>
            <w:tcW w:w="260" w:type="dxa"/>
            <w:vAlign w:val="bottom"/>
            <w:shd w:val="clear" w:color="auto" w:fill="E3EAEE"/>
          </w:tcPr>
          <w:p>
            <w:pPr>
              <w:spacing w:after="0"/>
              <w:rPr>
                <w:sz w:val="21"/>
                <w:szCs w:val="21"/>
                <w:color w:val="auto"/>
              </w:rPr>
            </w:pPr>
          </w:p>
        </w:tc>
        <w:tc>
          <w:tcPr>
            <w:tcW w:w="1580" w:type="dxa"/>
            <w:vAlign w:val="bottom"/>
            <w:shd w:val="clear" w:color="auto" w:fill="E3EAEE"/>
          </w:tcPr>
          <w:p>
            <w:pPr>
              <w:jc w:val="right"/>
              <w:ind w:right="79"/>
              <w:spacing w:after="0"/>
              <w:rPr>
                <w:sz w:val="20"/>
                <w:szCs w:val="20"/>
                <w:color w:val="auto"/>
              </w:rPr>
            </w:pPr>
            <w:r>
              <w:rPr>
                <w:rFonts w:ascii="Arial" w:cs="Arial" w:eastAsia="Arial" w:hAnsi="Arial"/>
                <w:sz w:val="16"/>
                <w:szCs w:val="16"/>
                <w:color w:val="3E474E"/>
              </w:rPr>
              <w:t>767,309</w:t>
            </w:r>
          </w:p>
        </w:tc>
        <w:tc>
          <w:tcPr>
            <w:tcW w:w="12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140" w:type="dxa"/>
            <w:vAlign w:val="bottom"/>
            <w:shd w:val="clear" w:color="auto" w:fill="E3EAEE"/>
          </w:tcPr>
          <w:p>
            <w:pPr>
              <w:spacing w:after="0"/>
              <w:rPr>
                <w:sz w:val="21"/>
                <w:szCs w:val="21"/>
                <w:color w:val="auto"/>
              </w:rPr>
            </w:pPr>
          </w:p>
        </w:tc>
        <w:tc>
          <w:tcPr>
            <w:tcW w:w="10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11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35"/>
        </w:trPr>
        <w:tc>
          <w:tcPr>
            <w:tcW w:w="2000" w:type="dxa"/>
            <w:vAlign w:val="bottom"/>
          </w:tcPr>
          <w:p>
            <w:pPr>
              <w:ind w:left="20"/>
              <w:spacing w:after="0"/>
              <w:rPr>
                <w:sz w:val="20"/>
                <w:szCs w:val="20"/>
                <w:color w:val="auto"/>
              </w:rPr>
            </w:pPr>
            <w:r>
              <w:rPr>
                <w:rFonts w:ascii="Arial" w:cs="Arial" w:eastAsia="Arial" w:hAnsi="Arial"/>
                <w:sz w:val="16"/>
                <w:szCs w:val="16"/>
                <w:color w:val="3E474E"/>
              </w:rPr>
              <w:t>F. Blair Wimbush</w:t>
            </w:r>
          </w:p>
        </w:tc>
        <w:tc>
          <w:tcPr>
            <w:tcW w:w="1500" w:type="dxa"/>
            <w:vAlign w:val="bottom"/>
            <w:gridSpan w:val="2"/>
          </w:tcPr>
          <w:p>
            <w:pPr>
              <w:jc w:val="right"/>
              <w:ind w:right="259"/>
              <w:spacing w:after="0"/>
              <w:rPr>
                <w:sz w:val="20"/>
                <w:szCs w:val="20"/>
                <w:color w:val="auto"/>
              </w:rPr>
            </w:pPr>
            <w:r>
              <w:rPr>
                <w:rFonts w:ascii="Arial" w:cs="Arial" w:eastAsia="Arial" w:hAnsi="Arial"/>
                <w:sz w:val="16"/>
                <w:szCs w:val="16"/>
                <w:color w:val="3E474E"/>
              </w:rPr>
              <w:t>42,031</w:t>
            </w:r>
          </w:p>
        </w:tc>
        <w:tc>
          <w:tcPr>
            <w:tcW w:w="1120" w:type="dxa"/>
            <w:vAlign w:val="bottom"/>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tcPr>
          <w:p>
            <w:pPr>
              <w:jc w:val="right"/>
              <w:spacing w:after="0"/>
              <w:rPr>
                <w:sz w:val="20"/>
                <w:szCs w:val="20"/>
                <w:color w:val="auto"/>
              </w:rPr>
            </w:pPr>
            <w:r>
              <w:rPr>
                <w:rFonts w:ascii="Arial" w:cs="Arial" w:eastAsia="Arial" w:hAnsi="Arial"/>
                <w:sz w:val="16"/>
                <w:szCs w:val="16"/>
                <w:color w:val="3E474E"/>
              </w:rPr>
              <w:t>12,919</w:t>
            </w:r>
          </w:p>
        </w:tc>
        <w:tc>
          <w:tcPr>
            <w:tcW w:w="2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3E474E"/>
              </w:rPr>
              <w:t>54,950</w:t>
            </w:r>
          </w:p>
        </w:tc>
        <w:tc>
          <w:tcPr>
            <w:tcW w:w="1200" w:type="dxa"/>
            <w:vAlign w:val="bottom"/>
          </w:tcPr>
          <w:p>
            <w:pPr>
              <w:jc w:val="right"/>
              <w:spacing w:after="0"/>
              <w:rPr>
                <w:sz w:val="20"/>
                <w:szCs w:val="20"/>
                <w:color w:val="auto"/>
              </w:rPr>
            </w:pPr>
            <w:r>
              <w:rPr>
                <w:rFonts w:ascii="Arial" w:cs="Arial" w:eastAsia="Arial" w:hAnsi="Arial"/>
                <w:sz w:val="16"/>
                <w:szCs w:val="16"/>
                <w:color w:val="3E474E"/>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3E474E"/>
              </w:rPr>
              <w:t>—</w:t>
            </w:r>
          </w:p>
        </w:tc>
        <w:tc>
          <w:tcPr>
            <w:tcW w:w="1180" w:type="dxa"/>
            <w:vAlign w:val="bottom"/>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251"/>
        </w:trPr>
        <w:tc>
          <w:tcPr>
            <w:tcW w:w="2000" w:type="dxa"/>
            <w:vAlign w:val="bottom"/>
            <w:shd w:val="clear" w:color="auto" w:fill="E3EAEE"/>
          </w:tcPr>
          <w:p>
            <w:pPr>
              <w:ind w:left="20"/>
              <w:spacing w:after="0"/>
              <w:rPr>
                <w:sz w:val="20"/>
                <w:szCs w:val="20"/>
                <w:color w:val="auto"/>
              </w:rPr>
            </w:pPr>
            <w:r>
              <w:rPr>
                <w:rFonts w:ascii="Arial" w:cs="Arial" w:eastAsia="Arial" w:hAnsi="Arial"/>
                <w:sz w:val="16"/>
                <w:szCs w:val="16"/>
                <w:color w:val="3E474E"/>
              </w:rPr>
              <w:t>Lori B. Wittman</w:t>
            </w:r>
          </w:p>
        </w:tc>
        <w:tc>
          <w:tcPr>
            <w:tcW w:w="100" w:type="dxa"/>
            <w:vAlign w:val="bottom"/>
            <w:shd w:val="clear" w:color="auto" w:fill="E3EAEE"/>
          </w:tcPr>
          <w:p>
            <w:pPr>
              <w:spacing w:after="0"/>
              <w:rPr>
                <w:sz w:val="21"/>
                <w:szCs w:val="21"/>
                <w:color w:val="auto"/>
              </w:rPr>
            </w:pPr>
          </w:p>
        </w:tc>
        <w:tc>
          <w:tcPr>
            <w:tcW w:w="1400" w:type="dxa"/>
            <w:vAlign w:val="bottom"/>
            <w:tcBorders>
              <w:bottom w:val="single" w:sz="8" w:color="1478A3"/>
            </w:tcBorders>
            <w:shd w:val="clear" w:color="auto" w:fill="E3EAEE"/>
          </w:tcPr>
          <w:p>
            <w:pPr>
              <w:jc w:val="right"/>
              <w:ind w:right="259"/>
              <w:spacing w:after="0"/>
              <w:rPr>
                <w:sz w:val="20"/>
                <w:szCs w:val="20"/>
                <w:color w:val="auto"/>
              </w:rPr>
            </w:pPr>
            <w:r>
              <w:rPr>
                <w:rFonts w:ascii="Arial" w:cs="Arial" w:eastAsia="Arial" w:hAnsi="Arial"/>
                <w:sz w:val="16"/>
                <w:szCs w:val="16"/>
                <w:color w:val="3E474E"/>
              </w:rPr>
              <w:t>—</w:t>
            </w:r>
          </w:p>
        </w:tc>
        <w:tc>
          <w:tcPr>
            <w:tcW w:w="1120" w:type="dxa"/>
            <w:vAlign w:val="bottom"/>
            <w:tcBorders>
              <w:bottom w:val="single" w:sz="8" w:color="1478A3"/>
            </w:tcBorders>
            <w:shd w:val="clear" w:color="auto" w:fill="E3EAEE"/>
          </w:tcPr>
          <w:p>
            <w:pPr>
              <w:jc w:val="right"/>
              <w:ind w:right="59"/>
              <w:spacing w:after="0"/>
              <w:rPr>
                <w:sz w:val="20"/>
                <w:szCs w:val="20"/>
                <w:color w:val="auto"/>
              </w:rPr>
            </w:pPr>
            <w:r>
              <w:rPr>
                <w:rFonts w:ascii="Arial" w:cs="Arial" w:eastAsia="Arial" w:hAnsi="Arial"/>
                <w:sz w:val="16"/>
                <w:szCs w:val="16"/>
                <w:color w:val="3E474E"/>
              </w:rPr>
              <w:t>*</w:t>
            </w:r>
          </w:p>
        </w:tc>
        <w:tc>
          <w:tcPr>
            <w:tcW w:w="1180" w:type="dxa"/>
            <w:vAlign w:val="bottom"/>
            <w:tcBorders>
              <w:bottom w:val="single" w:sz="8" w:color="1478A3"/>
            </w:tcBorders>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260" w:type="dxa"/>
            <w:vAlign w:val="bottom"/>
            <w:tcBorders>
              <w:bottom w:val="single" w:sz="8" w:color="1478A3"/>
            </w:tcBorders>
            <w:shd w:val="clear" w:color="auto" w:fill="E3EAEE"/>
          </w:tcPr>
          <w:p>
            <w:pPr>
              <w:spacing w:after="0"/>
              <w:rPr>
                <w:sz w:val="21"/>
                <w:szCs w:val="21"/>
                <w:color w:val="auto"/>
              </w:rPr>
            </w:pPr>
          </w:p>
        </w:tc>
        <w:tc>
          <w:tcPr>
            <w:tcW w:w="1580" w:type="dxa"/>
            <w:vAlign w:val="bottom"/>
            <w:tcBorders>
              <w:bottom w:val="single" w:sz="8" w:color="1478A3"/>
            </w:tcBorders>
            <w:shd w:val="clear" w:color="auto" w:fill="E3EAEE"/>
          </w:tcPr>
          <w:p>
            <w:pPr>
              <w:jc w:val="right"/>
              <w:ind w:right="79"/>
              <w:spacing w:after="0"/>
              <w:rPr>
                <w:sz w:val="20"/>
                <w:szCs w:val="20"/>
                <w:color w:val="auto"/>
              </w:rPr>
            </w:pPr>
            <w:r>
              <w:rPr>
                <w:rFonts w:ascii="Arial" w:cs="Arial" w:eastAsia="Arial" w:hAnsi="Arial"/>
                <w:sz w:val="16"/>
                <w:szCs w:val="16"/>
                <w:color w:val="3E474E"/>
              </w:rPr>
              <w:t>—</w:t>
            </w:r>
          </w:p>
        </w:tc>
        <w:tc>
          <w:tcPr>
            <w:tcW w:w="1200" w:type="dxa"/>
            <w:vAlign w:val="bottom"/>
            <w:tcBorders>
              <w:bottom w:val="single" w:sz="8" w:color="1478A3"/>
            </w:tcBorders>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140" w:type="dxa"/>
            <w:vAlign w:val="bottom"/>
            <w:tcBorders>
              <w:bottom w:val="single" w:sz="8" w:color="1478A3"/>
            </w:tcBorders>
            <w:shd w:val="clear" w:color="auto" w:fill="E3EAEE"/>
          </w:tcPr>
          <w:p>
            <w:pPr>
              <w:spacing w:after="0"/>
              <w:rPr>
                <w:sz w:val="21"/>
                <w:szCs w:val="21"/>
                <w:color w:val="auto"/>
              </w:rPr>
            </w:pPr>
          </w:p>
        </w:tc>
        <w:tc>
          <w:tcPr>
            <w:tcW w:w="1080" w:type="dxa"/>
            <w:vAlign w:val="bottom"/>
            <w:tcBorders>
              <w:bottom w:val="single" w:sz="8" w:color="1478A3"/>
            </w:tcBorders>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1180" w:type="dxa"/>
            <w:vAlign w:val="bottom"/>
            <w:tcBorders>
              <w:bottom w:val="single" w:sz="8" w:color="1478A3"/>
            </w:tcBorders>
            <w:shd w:val="clear" w:color="auto" w:fill="E3EAEE"/>
          </w:tcPr>
          <w:p>
            <w:pPr>
              <w:jc w:val="right"/>
              <w:spacing w:after="0"/>
              <w:rPr>
                <w:sz w:val="20"/>
                <w:szCs w:val="20"/>
                <w:color w:val="auto"/>
              </w:rPr>
            </w:pPr>
            <w:r>
              <w:rPr>
                <w:rFonts w:ascii="Arial" w:cs="Arial" w:eastAsia="Arial" w:hAnsi="Arial"/>
                <w:sz w:val="16"/>
                <w:szCs w:val="16"/>
                <w:color w:val="3E474E"/>
              </w:rPr>
              <w:t>*</w:t>
            </w:r>
          </w:p>
        </w:tc>
        <w:tc>
          <w:tcPr>
            <w:tcW w:w="0" w:type="dxa"/>
            <w:vAlign w:val="bottom"/>
          </w:tcPr>
          <w:p>
            <w:pPr>
              <w:spacing w:after="0"/>
              <w:rPr>
                <w:sz w:val="1"/>
                <w:szCs w:val="1"/>
                <w:color w:val="auto"/>
              </w:rPr>
            </w:pPr>
          </w:p>
        </w:tc>
      </w:tr>
      <w:tr>
        <w:trPr>
          <w:trHeight w:val="182"/>
        </w:trPr>
        <w:tc>
          <w:tcPr>
            <w:tcW w:w="2000" w:type="dxa"/>
            <w:vAlign w:val="bottom"/>
          </w:tcPr>
          <w:p>
            <w:pPr>
              <w:ind w:left="180"/>
              <w:spacing w:after="0" w:line="182" w:lineRule="exact"/>
              <w:rPr>
                <w:sz w:val="20"/>
                <w:szCs w:val="20"/>
                <w:color w:val="auto"/>
              </w:rPr>
            </w:pPr>
            <w:r>
              <w:rPr>
                <w:rFonts w:ascii="Arial" w:cs="Arial" w:eastAsia="Arial" w:hAnsi="Arial"/>
                <w:sz w:val="16"/>
                <w:szCs w:val="16"/>
                <w:b w:val="1"/>
                <w:bCs w:val="1"/>
                <w:color w:val="3E474E"/>
              </w:rPr>
              <w:t>All executive officers</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180"/>
              <w:spacing w:after="0"/>
              <w:rPr>
                <w:sz w:val="20"/>
                <w:szCs w:val="20"/>
                <w:color w:val="auto"/>
              </w:rPr>
            </w:pPr>
            <w:r>
              <w:rPr>
                <w:rFonts w:ascii="Arial" w:cs="Arial" w:eastAsia="Arial" w:hAnsi="Arial"/>
                <w:sz w:val="16"/>
                <w:szCs w:val="16"/>
                <w:b w:val="1"/>
                <w:bCs w:val="1"/>
                <w:color w:val="3E474E"/>
              </w:rPr>
              <w:t>and directors as a</w:t>
            </w:r>
          </w:p>
        </w:tc>
        <w:tc>
          <w:tcPr>
            <w:tcW w:w="1500" w:type="dxa"/>
            <w:vAlign w:val="bottom"/>
            <w:gridSpan w:val="2"/>
          </w:tcPr>
          <w:p>
            <w:pPr>
              <w:jc w:val="right"/>
              <w:ind w:right="259"/>
              <w:spacing w:after="0"/>
              <w:rPr>
                <w:sz w:val="20"/>
                <w:szCs w:val="20"/>
                <w:color w:val="auto"/>
              </w:rPr>
            </w:pPr>
            <w:r>
              <w:rPr>
                <w:rFonts w:ascii="Arial" w:cs="Arial" w:eastAsia="Arial" w:hAnsi="Arial"/>
                <w:sz w:val="16"/>
                <w:szCs w:val="16"/>
                <w:color w:val="3E474E"/>
              </w:rPr>
              <w:t>847,818</w:t>
            </w:r>
          </w:p>
        </w:tc>
        <w:tc>
          <w:tcPr>
            <w:tcW w:w="1120" w:type="dxa"/>
            <w:vAlign w:val="bottom"/>
          </w:tcPr>
          <w:p>
            <w:pPr>
              <w:jc w:val="right"/>
              <w:ind w:right="59"/>
              <w:spacing w:after="0"/>
              <w:rPr>
                <w:sz w:val="20"/>
                <w:szCs w:val="20"/>
                <w:color w:val="auto"/>
              </w:rPr>
            </w:pPr>
            <w:r>
              <w:rPr>
                <w:rFonts w:ascii="Arial" w:cs="Arial" w:eastAsia="Arial" w:hAnsi="Arial"/>
                <w:sz w:val="16"/>
                <w:szCs w:val="16"/>
                <w:color w:val="3E474E"/>
              </w:rPr>
              <w:t>1.1 %</w:t>
            </w:r>
          </w:p>
        </w:tc>
        <w:tc>
          <w:tcPr>
            <w:tcW w:w="1180" w:type="dxa"/>
            <w:vAlign w:val="bottom"/>
          </w:tcPr>
          <w:p>
            <w:pPr>
              <w:jc w:val="right"/>
              <w:spacing w:after="0"/>
              <w:rPr>
                <w:sz w:val="20"/>
                <w:szCs w:val="20"/>
                <w:color w:val="auto"/>
              </w:rPr>
            </w:pPr>
            <w:r>
              <w:rPr>
                <w:rFonts w:ascii="Arial" w:cs="Arial" w:eastAsia="Arial" w:hAnsi="Arial"/>
                <w:sz w:val="16"/>
                <w:szCs w:val="16"/>
                <w:color w:val="3E474E"/>
              </w:rPr>
              <w:t>8,241,984</w:t>
            </w:r>
          </w:p>
        </w:tc>
        <w:tc>
          <w:tcPr>
            <w:tcW w:w="260" w:type="dxa"/>
            <w:vAlign w:val="bottom"/>
          </w:tcPr>
          <w:p>
            <w:pPr>
              <w:spacing w:after="0"/>
              <w:rPr>
                <w:sz w:val="17"/>
                <w:szCs w:val="17"/>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3E474E"/>
              </w:rPr>
              <w:t>9,089,802</w:t>
            </w:r>
          </w:p>
        </w:tc>
        <w:tc>
          <w:tcPr>
            <w:tcW w:w="1200" w:type="dxa"/>
            <w:vAlign w:val="bottom"/>
          </w:tcPr>
          <w:p>
            <w:pPr>
              <w:jc w:val="right"/>
              <w:spacing w:after="0"/>
              <w:rPr>
                <w:sz w:val="20"/>
                <w:szCs w:val="20"/>
                <w:color w:val="auto"/>
              </w:rPr>
            </w:pPr>
            <w:r>
              <w:rPr>
                <w:rFonts w:ascii="Arial" w:cs="Arial" w:eastAsia="Arial" w:hAnsi="Arial"/>
                <w:sz w:val="16"/>
                <w:szCs w:val="16"/>
                <w:color w:val="3E474E"/>
              </w:rPr>
              <w:t>9.3 %</w:t>
            </w:r>
          </w:p>
        </w:tc>
        <w:tc>
          <w:tcPr>
            <w:tcW w:w="1220" w:type="dxa"/>
            <w:vAlign w:val="bottom"/>
            <w:gridSpan w:val="2"/>
          </w:tcPr>
          <w:p>
            <w:pPr>
              <w:jc w:val="right"/>
              <w:spacing w:after="0"/>
              <w:rPr>
                <w:sz w:val="20"/>
                <w:szCs w:val="20"/>
                <w:color w:val="auto"/>
              </w:rPr>
            </w:pPr>
            <w:r>
              <w:rPr>
                <w:rFonts w:ascii="Arial" w:cs="Arial" w:eastAsia="Arial" w:hAnsi="Arial"/>
                <w:sz w:val="16"/>
                <w:szCs w:val="16"/>
                <w:color w:val="3E474E"/>
              </w:rPr>
              <w:t>23,000</w:t>
            </w:r>
          </w:p>
        </w:tc>
        <w:tc>
          <w:tcPr>
            <w:tcW w:w="1180" w:type="dxa"/>
            <w:vAlign w:val="bottom"/>
          </w:tcPr>
          <w:p>
            <w:pPr>
              <w:jc w:val="right"/>
              <w:spacing w:after="0"/>
              <w:rPr>
                <w:sz w:val="20"/>
                <w:szCs w:val="20"/>
                <w:color w:val="auto"/>
              </w:rPr>
            </w:pPr>
            <w:r>
              <w:rPr>
                <w:rFonts w:ascii="Arial" w:cs="Arial" w:eastAsia="Arial" w:hAnsi="Arial"/>
                <w:sz w:val="16"/>
                <w:szCs w:val="16"/>
                <w:color w:val="3E474E"/>
              </w:rPr>
              <w:t>0.3 %</w:t>
            </w:r>
          </w:p>
        </w:tc>
        <w:tc>
          <w:tcPr>
            <w:tcW w:w="0" w:type="dxa"/>
            <w:vAlign w:val="bottom"/>
          </w:tcPr>
          <w:p>
            <w:pPr>
              <w:spacing w:after="0"/>
              <w:rPr>
                <w:sz w:val="1"/>
                <w:szCs w:val="1"/>
                <w:color w:val="auto"/>
              </w:rPr>
            </w:pPr>
          </w:p>
        </w:tc>
      </w:tr>
      <w:tr>
        <w:trPr>
          <w:trHeight w:val="223"/>
        </w:trPr>
        <w:tc>
          <w:tcPr>
            <w:tcW w:w="2000" w:type="dxa"/>
            <w:vAlign w:val="bottom"/>
          </w:tcPr>
          <w:p>
            <w:pPr>
              <w:ind w:left="180"/>
              <w:spacing w:after="0"/>
              <w:rPr>
                <w:sz w:val="20"/>
                <w:szCs w:val="20"/>
                <w:color w:val="auto"/>
              </w:rPr>
            </w:pPr>
            <w:r>
              <w:rPr>
                <w:rFonts w:ascii="Arial" w:cs="Arial" w:eastAsia="Arial" w:hAnsi="Arial"/>
                <w:sz w:val="16"/>
                <w:szCs w:val="16"/>
                <w:b w:val="1"/>
                <w:bCs w:val="1"/>
                <w:color w:val="3E474E"/>
              </w:rPr>
              <w:t>group (12 people)</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38735</wp:posOffset>
            </wp:positionV>
            <wp:extent cx="58718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3E474E"/>
        </w:rPr>
        <w:t>* Less than 1%</w:t>
      </w:r>
    </w:p>
    <w:p>
      <w:pPr>
        <w:spacing w:after="0" w:line="53" w:lineRule="exact"/>
        <w:rPr>
          <w:sz w:val="20"/>
          <w:szCs w:val="20"/>
          <w:color w:val="auto"/>
        </w:rPr>
      </w:pPr>
    </w:p>
    <w:p>
      <w:pPr>
        <w:ind w:left="200" w:hanging="192"/>
        <w:spacing w:after="0"/>
        <w:tabs>
          <w:tab w:leader="none" w:pos="200" w:val="left"/>
        </w:tabs>
        <w:numPr>
          <w:ilvl w:val="0"/>
          <w:numId w:val="94"/>
        </w:numPr>
        <w:rPr>
          <w:rFonts w:ascii="Arial" w:cs="Arial" w:eastAsia="Arial" w:hAnsi="Arial"/>
          <w:sz w:val="13"/>
          <w:szCs w:val="13"/>
          <w:color w:val="3E474E"/>
        </w:rPr>
      </w:pPr>
      <w:r>
        <w:rPr>
          <w:rFonts w:ascii="Arial" w:cs="Arial" w:eastAsia="Arial" w:hAnsi="Arial"/>
          <w:sz w:val="13"/>
          <w:szCs w:val="13"/>
          <w:color w:val="3E474E"/>
        </w:rPr>
        <w:t>Based on 75,973,679 shares of our common stock outstanding as of April 24, 2026.</w:t>
      </w:r>
    </w:p>
    <w:p>
      <w:pPr>
        <w:spacing w:after="0" w:line="66" w:lineRule="exact"/>
        <w:rPr>
          <w:rFonts w:ascii="Arial" w:cs="Arial" w:eastAsia="Arial" w:hAnsi="Arial"/>
          <w:sz w:val="13"/>
          <w:szCs w:val="13"/>
          <w:color w:val="3E474E"/>
        </w:rPr>
      </w:pPr>
    </w:p>
    <w:p>
      <w:pPr>
        <w:ind w:left="200" w:hanging="192"/>
        <w:spacing w:after="0"/>
        <w:tabs>
          <w:tab w:leader="none" w:pos="200" w:val="left"/>
        </w:tabs>
        <w:numPr>
          <w:ilvl w:val="0"/>
          <w:numId w:val="94"/>
        </w:numPr>
        <w:rPr>
          <w:rFonts w:ascii="Arial" w:cs="Arial" w:eastAsia="Arial" w:hAnsi="Arial"/>
          <w:sz w:val="13"/>
          <w:szCs w:val="13"/>
          <w:color w:val="3E474E"/>
        </w:rPr>
      </w:pPr>
      <w:r>
        <w:rPr>
          <w:rFonts w:ascii="Arial" w:cs="Arial" w:eastAsia="Arial" w:hAnsi="Arial"/>
          <w:sz w:val="13"/>
          <w:szCs w:val="13"/>
          <w:color w:val="3E474E"/>
        </w:rPr>
        <w:t>Based on 21,316,211 OP units outstanding as of April 24, 2026 (other than OP units held by us) and 73,570 LTIP units vested or to vest within 60 days after April 24, 2026.</w:t>
      </w:r>
    </w:p>
    <w:p>
      <w:pPr>
        <w:spacing w:after="0" w:line="53" w:lineRule="exact"/>
        <w:rPr>
          <w:rFonts w:ascii="Arial" w:cs="Arial" w:eastAsia="Arial" w:hAnsi="Arial"/>
          <w:sz w:val="13"/>
          <w:szCs w:val="13"/>
          <w:color w:val="3E474E"/>
        </w:rPr>
      </w:pPr>
    </w:p>
    <w:p>
      <w:pPr>
        <w:ind w:left="200" w:hanging="192"/>
        <w:spacing w:after="0"/>
        <w:tabs>
          <w:tab w:leader="none" w:pos="200" w:val="left"/>
        </w:tabs>
        <w:numPr>
          <w:ilvl w:val="0"/>
          <w:numId w:val="94"/>
        </w:numPr>
        <w:rPr>
          <w:rFonts w:ascii="Arial" w:cs="Arial" w:eastAsia="Arial" w:hAnsi="Arial"/>
          <w:sz w:val="13"/>
          <w:szCs w:val="13"/>
          <w:color w:val="3E474E"/>
        </w:rPr>
      </w:pPr>
      <w:r>
        <w:rPr>
          <w:rFonts w:ascii="Arial" w:cs="Arial" w:eastAsia="Arial" w:hAnsi="Arial"/>
          <w:sz w:val="13"/>
          <w:szCs w:val="13"/>
          <w:color w:val="3E474E"/>
        </w:rPr>
        <w:t>Based on 6,843,418 shares of our preferred stock outstanding as of April 24, 2026.</w:t>
      </w:r>
    </w:p>
    <w:p>
      <w:pPr>
        <w:spacing w:after="0" w:line="53" w:lineRule="exact"/>
        <w:rPr>
          <w:rFonts w:ascii="Arial" w:cs="Arial" w:eastAsia="Arial" w:hAnsi="Arial"/>
          <w:sz w:val="13"/>
          <w:szCs w:val="13"/>
          <w:color w:val="3E474E"/>
        </w:rPr>
      </w:pPr>
    </w:p>
    <w:p>
      <w:pPr>
        <w:ind w:left="200" w:hanging="192"/>
        <w:spacing w:after="0"/>
        <w:tabs>
          <w:tab w:leader="none" w:pos="200" w:val="left"/>
        </w:tabs>
        <w:numPr>
          <w:ilvl w:val="0"/>
          <w:numId w:val="94"/>
        </w:numPr>
        <w:rPr>
          <w:rFonts w:ascii="Arial" w:cs="Arial" w:eastAsia="Arial" w:hAnsi="Arial"/>
          <w:sz w:val="13"/>
          <w:szCs w:val="13"/>
          <w:color w:val="3E474E"/>
        </w:rPr>
      </w:pPr>
      <w:r>
        <w:rPr>
          <w:rFonts w:ascii="Arial" w:cs="Arial" w:eastAsia="Arial" w:hAnsi="Arial"/>
          <w:sz w:val="13"/>
          <w:szCs w:val="13"/>
          <w:color w:val="3E474E"/>
        </w:rPr>
        <w:t>As of April 24, 2026, which is the date Mr. Apperson provided the information. On May 23, 2025, we terminated the employment of Mr. Apperson.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670560</wp:posOffset>
            </wp:positionV>
            <wp:extent cx="8255"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670560</wp:posOffset>
            </wp:positionV>
            <wp:extent cx="8255"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60</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color w:val="747C83"/>
        </w:rPr>
        <w:t>Principal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hanging="192"/>
        <w:spacing w:after="0"/>
        <w:tabs>
          <w:tab w:leader="none" w:pos="200" w:val="left"/>
        </w:tabs>
        <w:numPr>
          <w:ilvl w:val="0"/>
          <w:numId w:val="95"/>
        </w:numPr>
        <w:rPr>
          <w:rFonts w:ascii="Arial" w:cs="Arial" w:eastAsia="Arial" w:hAnsi="Arial"/>
          <w:sz w:val="13"/>
          <w:szCs w:val="13"/>
          <w:color w:val="3E474E"/>
        </w:rPr>
      </w:pPr>
      <w:r>
        <w:rPr>
          <w:rFonts w:ascii="Arial" w:cs="Arial" w:eastAsia="Arial" w:hAnsi="Arial"/>
          <w:sz w:val="13"/>
          <w:szCs w:val="13"/>
          <w:color w:val="3E474E"/>
        </w:rPr>
        <w:t>Includes 272,932 OP units held by a trust, for which Mr. Haddad serves as a trustee and for which Mr. Haddad disclaims beneficial ownership.</w:t>
      </w:r>
    </w:p>
    <w:p>
      <w:pPr>
        <w:spacing w:after="0" w:line="53" w:lineRule="exact"/>
        <w:rPr>
          <w:rFonts w:ascii="Arial" w:cs="Arial" w:eastAsia="Arial" w:hAnsi="Arial"/>
          <w:sz w:val="13"/>
          <w:szCs w:val="13"/>
          <w:color w:val="3E474E"/>
        </w:rPr>
      </w:pPr>
    </w:p>
    <w:p>
      <w:pPr>
        <w:ind w:left="200" w:hanging="192"/>
        <w:spacing w:after="0"/>
        <w:tabs>
          <w:tab w:leader="none" w:pos="200" w:val="left"/>
        </w:tabs>
        <w:numPr>
          <w:ilvl w:val="0"/>
          <w:numId w:val="95"/>
        </w:numPr>
        <w:rPr>
          <w:rFonts w:ascii="Arial" w:cs="Arial" w:eastAsia="Arial" w:hAnsi="Arial"/>
          <w:sz w:val="13"/>
          <w:szCs w:val="13"/>
          <w:color w:val="3E474E"/>
        </w:rPr>
      </w:pPr>
      <w:r>
        <w:rPr>
          <w:rFonts w:ascii="Arial" w:cs="Arial" w:eastAsia="Arial" w:hAnsi="Arial"/>
          <w:sz w:val="13"/>
          <w:szCs w:val="13"/>
          <w:color w:val="3E474E"/>
        </w:rPr>
        <w:t>Includes 126,290 OP units held by a trust, for which Mr. Hoffler serves as a trustee and for which Mr. Hoffler disclaims beneficial ownership.</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57AED5"/>
        </w:rPr>
        <w:t>BENEFICIAL OWNERSHIP OF PRINCIPAL SHAREHOLDERS</w:t>
      </w:r>
    </w:p>
    <w:p>
      <w:pPr>
        <w:spacing w:after="0" w:line="12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3E474E"/>
        </w:rPr>
        <w:t>As of April 24, 2026, to the Company’s knowledge, three persons or entities beneficially owned more than 5% of the Company’s Common Stock. The beneficial ownership of Daniel A. Hoffler appears in the immediately preceding table. The following table sets forth the beneficial ownership of the other 5% beneficial owners, based upon information provided by such entities: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00" w:type="dxa"/>
            <w:vAlign w:val="bottom"/>
            <w:vMerge w:val="restart"/>
            <w:shd w:val="clear" w:color="auto" w:fill="E3EAEE"/>
          </w:tcPr>
          <w:p>
            <w:pPr>
              <w:ind w:left="140"/>
              <w:spacing w:after="0"/>
              <w:rPr>
                <w:sz w:val="20"/>
                <w:szCs w:val="20"/>
                <w:color w:val="auto"/>
              </w:rPr>
            </w:pPr>
            <w:r>
              <w:rPr>
                <w:rFonts w:ascii="Arial" w:cs="Arial" w:eastAsia="Arial" w:hAnsi="Arial"/>
                <w:sz w:val="14"/>
                <w:szCs w:val="14"/>
                <w:b w:val="1"/>
                <w:bCs w:val="1"/>
                <w:color w:val="1478A3"/>
              </w:rPr>
              <w:t>More than 5% Beneficial Owners</w:t>
            </w:r>
          </w:p>
        </w:tc>
        <w:tc>
          <w:tcPr>
            <w:tcW w:w="2760" w:type="dxa"/>
            <w:vAlign w:val="bottom"/>
            <w:shd w:val="clear" w:color="auto" w:fill="E3EAEE"/>
          </w:tcPr>
          <w:p>
            <w:pPr>
              <w:jc w:val="right"/>
              <w:ind w:right="779"/>
              <w:spacing w:after="0"/>
              <w:rPr>
                <w:sz w:val="20"/>
                <w:szCs w:val="20"/>
                <w:color w:val="auto"/>
              </w:rPr>
            </w:pPr>
            <w:r>
              <w:rPr>
                <w:rFonts w:ascii="Arial" w:cs="Arial" w:eastAsia="Arial" w:hAnsi="Arial"/>
                <w:sz w:val="16"/>
                <w:szCs w:val="16"/>
                <w:b w:val="1"/>
                <w:bCs w:val="1"/>
                <w:color w:val="1478A3"/>
              </w:rPr>
              <w:t>Number of Shares</w:t>
            </w:r>
          </w:p>
        </w:tc>
        <w:tc>
          <w:tcPr>
            <w:tcW w:w="1480" w:type="dxa"/>
            <w:vAlign w:val="bottom"/>
            <w:shd w:val="clear" w:color="auto" w:fill="E3EAEE"/>
          </w:tcPr>
          <w:p>
            <w:pPr>
              <w:jc w:val="right"/>
              <w:spacing w:after="0"/>
              <w:rPr>
                <w:sz w:val="20"/>
                <w:szCs w:val="20"/>
                <w:color w:val="auto"/>
              </w:rPr>
            </w:pPr>
            <w:r>
              <w:rPr>
                <w:rFonts w:ascii="Arial" w:cs="Arial" w:eastAsia="Arial" w:hAnsi="Arial"/>
                <w:sz w:val="16"/>
                <w:szCs w:val="16"/>
                <w:b w:val="1"/>
                <w:bCs w:val="1"/>
                <w:color w:val="1478A3"/>
              </w:rPr>
              <w:t>% of All</w:t>
            </w:r>
          </w:p>
        </w:tc>
        <w:tc>
          <w:tcPr>
            <w:tcW w:w="0" w:type="dxa"/>
            <w:vAlign w:val="bottom"/>
          </w:tcPr>
          <w:p>
            <w:pPr>
              <w:spacing w:after="0"/>
              <w:rPr>
                <w:sz w:val="1"/>
                <w:szCs w:val="1"/>
                <w:color w:val="auto"/>
              </w:rPr>
            </w:pPr>
          </w:p>
        </w:tc>
      </w:tr>
      <w:tr>
        <w:trPr>
          <w:trHeight w:val="298"/>
        </w:trPr>
        <w:tc>
          <w:tcPr>
            <w:tcW w:w="7000" w:type="dxa"/>
            <w:vAlign w:val="bottom"/>
            <w:tcBorders>
              <w:bottom w:val="single" w:sz="8" w:color="E3EAEE"/>
            </w:tcBorders>
            <w:vMerge w:val="continue"/>
            <w:shd w:val="clear" w:color="auto" w:fill="E3EAEE"/>
          </w:tcPr>
          <w:p>
            <w:pPr>
              <w:spacing w:after="0"/>
              <w:rPr>
                <w:sz w:val="24"/>
                <w:szCs w:val="24"/>
                <w:color w:val="auto"/>
              </w:rPr>
            </w:pPr>
          </w:p>
        </w:tc>
        <w:tc>
          <w:tcPr>
            <w:tcW w:w="2760" w:type="dxa"/>
            <w:vAlign w:val="bottom"/>
            <w:tcBorders>
              <w:bottom w:val="single" w:sz="8" w:color="E3EAEE"/>
            </w:tcBorders>
            <w:shd w:val="clear" w:color="auto" w:fill="E3EAEE"/>
          </w:tcPr>
          <w:p>
            <w:pPr>
              <w:jc w:val="right"/>
              <w:ind w:right="719"/>
              <w:spacing w:after="0"/>
              <w:rPr>
                <w:sz w:val="20"/>
                <w:szCs w:val="20"/>
                <w:color w:val="auto"/>
              </w:rPr>
            </w:pPr>
            <w:r>
              <w:rPr>
                <w:rFonts w:ascii="Arial" w:cs="Arial" w:eastAsia="Arial" w:hAnsi="Arial"/>
                <w:sz w:val="16"/>
                <w:szCs w:val="16"/>
                <w:b w:val="1"/>
                <w:bCs w:val="1"/>
                <w:color w:val="1478A3"/>
              </w:rPr>
              <w:t>Beneficially Owned</w:t>
            </w:r>
          </w:p>
        </w:tc>
        <w:tc>
          <w:tcPr>
            <w:tcW w:w="148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b w:val="1"/>
                <w:bCs w:val="1"/>
                <w:color w:val="1478A3"/>
              </w:rPr>
              <w:t>Shares</w:t>
            </w:r>
            <w:r>
              <w:rPr>
                <w:rFonts w:ascii="Arial" w:cs="Arial" w:eastAsia="Arial" w:hAnsi="Arial"/>
                <w:sz w:val="21"/>
                <w:szCs w:val="21"/>
                <w:b w:val="1"/>
                <w:bCs w:val="1"/>
                <w:color w:val="1478A3"/>
                <w:vertAlign w:val="superscript"/>
              </w:rPr>
              <w:t>(1)</w:t>
            </w:r>
          </w:p>
        </w:tc>
        <w:tc>
          <w:tcPr>
            <w:tcW w:w="0" w:type="dxa"/>
            <w:vAlign w:val="bottom"/>
          </w:tcPr>
          <w:p>
            <w:pPr>
              <w:spacing w:after="0"/>
              <w:rPr>
                <w:sz w:val="1"/>
                <w:szCs w:val="1"/>
                <w:color w:val="auto"/>
              </w:rPr>
            </w:pPr>
          </w:p>
        </w:tc>
      </w:tr>
      <w:tr>
        <w:trPr>
          <w:trHeight w:val="195"/>
        </w:trPr>
        <w:tc>
          <w:tcPr>
            <w:tcW w:w="7000" w:type="dxa"/>
            <w:vAlign w:val="bottom"/>
            <w:tcBorders>
              <w:top w:val="single" w:sz="8" w:color="1478A3"/>
            </w:tcBorders>
          </w:tcPr>
          <w:p>
            <w:pPr>
              <w:ind w:left="140"/>
              <w:spacing w:after="0" w:line="196" w:lineRule="exact"/>
              <w:rPr>
                <w:sz w:val="20"/>
                <w:szCs w:val="20"/>
                <w:color w:val="auto"/>
              </w:rPr>
            </w:pPr>
            <w:r>
              <w:rPr>
                <w:rFonts w:ascii="Arial" w:cs="Arial" w:eastAsia="Arial" w:hAnsi="Arial"/>
                <w:sz w:val="16"/>
                <w:szCs w:val="16"/>
                <w:color w:val="3E474E"/>
              </w:rPr>
              <w:t>The Vanguard Group</w:t>
            </w:r>
            <w:r>
              <w:rPr>
                <w:rFonts w:ascii="Arial" w:cs="Arial" w:eastAsia="Arial" w:hAnsi="Arial"/>
                <w:sz w:val="21"/>
                <w:szCs w:val="21"/>
                <w:color w:val="3E474E"/>
                <w:vertAlign w:val="superscript"/>
              </w:rPr>
              <w:t>(2)</w:t>
            </w:r>
          </w:p>
        </w:tc>
        <w:tc>
          <w:tcPr>
            <w:tcW w:w="2760" w:type="dxa"/>
            <w:vAlign w:val="bottom"/>
            <w:tcBorders>
              <w:top w:val="single" w:sz="8" w:color="1478A3"/>
            </w:tcBorders>
          </w:tcPr>
          <w:p>
            <w:pPr>
              <w:spacing w:after="0"/>
              <w:rPr>
                <w:sz w:val="16"/>
                <w:szCs w:val="16"/>
                <w:color w:val="auto"/>
              </w:rPr>
            </w:pPr>
          </w:p>
        </w:tc>
        <w:tc>
          <w:tcPr>
            <w:tcW w:w="1480" w:type="dxa"/>
            <w:vAlign w:val="bottom"/>
            <w:tcBorders>
              <w:top w:val="single" w:sz="8" w:color="1478A3"/>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140"/>
              <w:spacing w:after="0"/>
              <w:rPr>
                <w:sz w:val="20"/>
                <w:szCs w:val="20"/>
                <w:color w:val="auto"/>
              </w:rPr>
            </w:pPr>
            <w:r>
              <w:rPr>
                <w:rFonts w:ascii="Arial" w:cs="Arial" w:eastAsia="Arial" w:hAnsi="Arial"/>
                <w:sz w:val="16"/>
                <w:szCs w:val="16"/>
                <w:color w:val="3E474E"/>
              </w:rPr>
              <w:t>100 Vanguard Blvd.</w:t>
            </w:r>
          </w:p>
        </w:tc>
        <w:tc>
          <w:tcPr>
            <w:tcW w:w="2760" w:type="dxa"/>
            <w:vAlign w:val="bottom"/>
          </w:tcPr>
          <w:p>
            <w:pPr>
              <w:jc w:val="right"/>
              <w:ind w:right="719"/>
              <w:spacing w:after="0"/>
              <w:rPr>
                <w:sz w:val="20"/>
                <w:szCs w:val="20"/>
                <w:color w:val="auto"/>
              </w:rPr>
            </w:pPr>
            <w:r>
              <w:rPr>
                <w:rFonts w:ascii="Arial" w:cs="Arial" w:eastAsia="Arial" w:hAnsi="Arial"/>
                <w:sz w:val="16"/>
                <w:szCs w:val="16"/>
                <w:color w:val="3E474E"/>
              </w:rPr>
              <w:t>7,692,253</w:t>
            </w:r>
          </w:p>
        </w:tc>
        <w:tc>
          <w:tcPr>
            <w:tcW w:w="1480" w:type="dxa"/>
            <w:vAlign w:val="bottom"/>
          </w:tcPr>
          <w:p>
            <w:pPr>
              <w:jc w:val="right"/>
              <w:spacing w:after="0"/>
              <w:rPr>
                <w:sz w:val="20"/>
                <w:szCs w:val="20"/>
                <w:color w:val="auto"/>
              </w:rPr>
            </w:pPr>
            <w:r>
              <w:rPr>
                <w:rFonts w:ascii="Arial" w:cs="Arial" w:eastAsia="Arial" w:hAnsi="Arial"/>
                <w:sz w:val="16"/>
                <w:szCs w:val="16"/>
                <w:color w:val="3E474E"/>
              </w:rPr>
              <w:t>10.1 %</w:t>
            </w:r>
          </w:p>
        </w:tc>
        <w:tc>
          <w:tcPr>
            <w:tcW w:w="0" w:type="dxa"/>
            <w:vAlign w:val="bottom"/>
          </w:tcPr>
          <w:p>
            <w:pPr>
              <w:spacing w:after="0"/>
              <w:rPr>
                <w:sz w:val="1"/>
                <w:szCs w:val="1"/>
                <w:color w:val="auto"/>
              </w:rPr>
            </w:pPr>
          </w:p>
        </w:tc>
      </w:tr>
      <w:tr>
        <w:trPr>
          <w:trHeight w:val="222"/>
        </w:trPr>
        <w:tc>
          <w:tcPr>
            <w:tcW w:w="7000" w:type="dxa"/>
            <w:vAlign w:val="bottom"/>
          </w:tcPr>
          <w:p>
            <w:pPr>
              <w:ind w:left="140"/>
              <w:spacing w:after="0"/>
              <w:rPr>
                <w:sz w:val="20"/>
                <w:szCs w:val="20"/>
                <w:color w:val="auto"/>
              </w:rPr>
            </w:pPr>
            <w:r>
              <w:rPr>
                <w:rFonts w:ascii="Arial" w:cs="Arial" w:eastAsia="Arial" w:hAnsi="Arial"/>
                <w:sz w:val="16"/>
                <w:szCs w:val="16"/>
                <w:color w:val="3E474E"/>
              </w:rPr>
              <w:t>Malvern, PA 19355</w:t>
            </w:r>
          </w:p>
        </w:tc>
        <w:tc>
          <w:tcPr>
            <w:tcW w:w="27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E3EAEE"/>
          </w:tcPr>
          <w:p>
            <w:pPr>
              <w:ind w:left="140"/>
              <w:spacing w:after="0" w:line="210" w:lineRule="exact"/>
              <w:rPr>
                <w:sz w:val="20"/>
                <w:szCs w:val="20"/>
                <w:color w:val="auto"/>
              </w:rPr>
            </w:pPr>
            <w:r>
              <w:rPr>
                <w:rFonts w:ascii="Arial" w:cs="Arial" w:eastAsia="Arial" w:hAnsi="Arial"/>
                <w:sz w:val="16"/>
                <w:szCs w:val="16"/>
                <w:color w:val="3E474E"/>
              </w:rPr>
              <w:t>BlackRock, Inc.</w:t>
            </w:r>
            <w:r>
              <w:rPr>
                <w:rFonts w:ascii="Arial" w:cs="Arial" w:eastAsia="Arial" w:hAnsi="Arial"/>
                <w:sz w:val="21"/>
                <w:szCs w:val="21"/>
                <w:color w:val="3E474E"/>
                <w:vertAlign w:val="superscript"/>
              </w:rPr>
              <w:t>(3)</w:t>
            </w:r>
          </w:p>
        </w:tc>
        <w:tc>
          <w:tcPr>
            <w:tcW w:w="2760" w:type="dxa"/>
            <w:vAlign w:val="bottom"/>
            <w:shd w:val="clear" w:color="auto" w:fill="E3EAEE"/>
          </w:tcPr>
          <w:p>
            <w:pPr>
              <w:spacing w:after="0"/>
              <w:rPr>
                <w:sz w:val="18"/>
                <w:szCs w:val="18"/>
                <w:color w:val="auto"/>
              </w:rPr>
            </w:pPr>
          </w:p>
        </w:tc>
        <w:tc>
          <w:tcPr>
            <w:tcW w:w="1480" w:type="dxa"/>
            <w:vAlign w:val="bottom"/>
            <w:shd w:val="clear" w:color="auto" w:fill="E3EAE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55 Hudson Yards</w:t>
            </w:r>
          </w:p>
        </w:tc>
        <w:tc>
          <w:tcPr>
            <w:tcW w:w="2760" w:type="dxa"/>
            <w:vAlign w:val="bottom"/>
            <w:shd w:val="clear" w:color="auto" w:fill="E3EAEE"/>
          </w:tcPr>
          <w:p>
            <w:pPr>
              <w:jc w:val="right"/>
              <w:ind w:right="779"/>
              <w:spacing w:after="0"/>
              <w:rPr>
                <w:sz w:val="20"/>
                <w:szCs w:val="20"/>
                <w:color w:val="auto"/>
              </w:rPr>
            </w:pPr>
            <w:r>
              <w:rPr>
                <w:rFonts w:ascii="Arial" w:cs="Arial" w:eastAsia="Arial" w:hAnsi="Arial"/>
                <w:sz w:val="16"/>
                <w:szCs w:val="16"/>
                <w:color w:val="3E474E"/>
              </w:rPr>
              <w:t>6,683,436</w:t>
            </w:r>
          </w:p>
        </w:tc>
        <w:tc>
          <w:tcPr>
            <w:tcW w:w="148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8.8 %</w:t>
            </w:r>
          </w:p>
        </w:tc>
        <w:tc>
          <w:tcPr>
            <w:tcW w:w="0" w:type="dxa"/>
            <w:vAlign w:val="bottom"/>
          </w:tcPr>
          <w:p>
            <w:pPr>
              <w:spacing w:after="0"/>
              <w:rPr>
                <w:sz w:val="1"/>
                <w:szCs w:val="1"/>
                <w:color w:val="auto"/>
              </w:rPr>
            </w:pPr>
          </w:p>
        </w:tc>
      </w:tr>
      <w:tr>
        <w:trPr>
          <w:trHeight w:val="230"/>
        </w:trPr>
        <w:tc>
          <w:tcPr>
            <w:tcW w:w="700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New York, NY 10001</w:t>
            </w:r>
          </w:p>
        </w:tc>
        <w:tc>
          <w:tcPr>
            <w:tcW w:w="2760" w:type="dxa"/>
            <w:vAlign w:val="bottom"/>
            <w:shd w:val="clear" w:color="auto" w:fill="E3EAEE"/>
          </w:tcPr>
          <w:p>
            <w:pPr>
              <w:spacing w:after="0"/>
              <w:rPr>
                <w:sz w:val="20"/>
                <w:szCs w:val="20"/>
                <w:color w:val="auto"/>
              </w:rPr>
            </w:pPr>
          </w:p>
        </w:tc>
        <w:tc>
          <w:tcPr>
            <w:tcW w:w="1480" w:type="dxa"/>
            <w:vAlign w:val="bottom"/>
            <w:shd w:val="clear" w:color="auto" w:fill="E3EAEE"/>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00" w:hanging="192"/>
        <w:spacing w:after="0"/>
        <w:tabs>
          <w:tab w:leader="none" w:pos="200" w:val="left"/>
        </w:tabs>
        <w:numPr>
          <w:ilvl w:val="0"/>
          <w:numId w:val="96"/>
        </w:numPr>
        <w:rPr>
          <w:rFonts w:ascii="Arial" w:cs="Arial" w:eastAsia="Arial" w:hAnsi="Arial"/>
          <w:sz w:val="13"/>
          <w:szCs w:val="13"/>
          <w:color w:val="3E474E"/>
        </w:rPr>
      </w:pPr>
      <w:r>
        <w:rPr>
          <w:rFonts w:ascii="Arial" w:cs="Arial" w:eastAsia="Arial" w:hAnsi="Arial"/>
          <w:sz w:val="13"/>
          <w:szCs w:val="13"/>
          <w:color w:val="3E474E"/>
        </w:rPr>
        <w:t>Based on 75,973,679 shares of our common stock outstanding as of April 24, 2026.</w:t>
      </w:r>
    </w:p>
    <w:p>
      <w:pPr>
        <w:spacing w:after="0" w:line="11" w:lineRule="exact"/>
        <w:rPr>
          <w:rFonts w:ascii="Arial" w:cs="Arial" w:eastAsia="Arial" w:hAnsi="Arial"/>
          <w:sz w:val="13"/>
          <w:szCs w:val="13"/>
          <w:color w:val="3E474E"/>
        </w:rPr>
      </w:pPr>
    </w:p>
    <w:p>
      <w:pPr>
        <w:ind w:left="260" w:right="180" w:hanging="252"/>
        <w:spacing w:after="0" w:line="238" w:lineRule="auto"/>
        <w:tabs>
          <w:tab w:leader="none" w:pos="206" w:val="left"/>
        </w:tabs>
        <w:numPr>
          <w:ilvl w:val="0"/>
          <w:numId w:val="96"/>
        </w:numPr>
        <w:rPr>
          <w:rFonts w:ascii="Arial" w:cs="Arial" w:eastAsia="Arial" w:hAnsi="Arial"/>
          <w:sz w:val="13"/>
          <w:szCs w:val="13"/>
          <w:color w:val="3E474E"/>
        </w:rPr>
      </w:pPr>
      <w:r>
        <w:rPr>
          <w:rFonts w:ascii="Arial" w:cs="Arial" w:eastAsia="Arial" w:hAnsi="Arial"/>
          <w:sz w:val="13"/>
          <w:szCs w:val="13"/>
          <w:color w:val="3E474E"/>
        </w:rPr>
        <w:t>Based solely upon the Schedule 13G/A filed with the SEC by the beneficial owner on February 13, 2024 and remaining effective as of December 31, 2025. The Vanguard Group possesses shared dispositive power over 7,692,253 shares.</w:t>
      </w:r>
    </w:p>
    <w:p>
      <w:pPr>
        <w:ind w:left="260" w:right="80" w:hanging="252"/>
        <w:spacing w:after="0" w:line="245" w:lineRule="auto"/>
        <w:tabs>
          <w:tab w:leader="none" w:pos="206" w:val="left"/>
        </w:tabs>
        <w:numPr>
          <w:ilvl w:val="0"/>
          <w:numId w:val="96"/>
        </w:numPr>
        <w:rPr>
          <w:rFonts w:ascii="Arial" w:cs="Arial" w:eastAsia="Arial" w:hAnsi="Arial"/>
          <w:sz w:val="13"/>
          <w:szCs w:val="13"/>
          <w:color w:val="3E474E"/>
        </w:rPr>
      </w:pPr>
      <w:r>
        <w:rPr>
          <w:rFonts w:ascii="Arial" w:cs="Arial" w:eastAsia="Arial" w:hAnsi="Arial"/>
          <w:sz w:val="13"/>
          <w:szCs w:val="13"/>
          <w:color w:val="3E474E"/>
        </w:rPr>
        <w:t>Based solely upon the Schedule 13G/A filed with the SEC by the beneficial owner on April 7, 2026 reporting beneficial ownership as of March 31, 2026. BlackRock, Inc. possesses sole voting power over 6,551,837 shares and sole dispositive power over 6,683,436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61</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747C83"/>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3"/>
          <w:szCs w:val="43"/>
          <w:b w:val="1"/>
          <w:bCs w:val="1"/>
          <w:color w:val="1478A3"/>
        </w:rPr>
        <w:t>Other Matters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1478A3"/>
        </w:rPr>
        <w:t>Delinquent Section 16(a) Reports</w:t>
      </w:r>
    </w:p>
    <w:p>
      <w:pPr>
        <w:spacing w:after="0" w:line="70" w:lineRule="exact"/>
        <w:rPr>
          <w:sz w:val="20"/>
          <w:szCs w:val="20"/>
          <w:color w:val="auto"/>
        </w:rPr>
      </w:pPr>
    </w:p>
    <w:p>
      <w:pPr>
        <w:spacing w:after="0" w:line="266" w:lineRule="auto"/>
        <w:rPr>
          <w:sz w:val="20"/>
          <w:szCs w:val="20"/>
          <w:color w:val="auto"/>
        </w:rPr>
      </w:pPr>
      <w:r>
        <w:rPr>
          <w:rFonts w:ascii="Arial" w:cs="Arial" w:eastAsia="Arial" w:hAnsi="Arial"/>
          <w:sz w:val="16"/>
          <w:szCs w:val="16"/>
          <w:color w:val="3E474E"/>
        </w:rPr>
        <w:t>Section 16(a) of the Exchange Act requires that our executive officers and directors, and persons who own more than 10% of a registered class of our equity securities, file reports of ownership and changes in ownership on Forms 3, 4, and 5 with the SEC and the NYSE. Executive officers, directors, and greater than 10% stockholders are required by the SEC to furnish us with copies of all Forms 3, 4, and 5 that they file.</w:t>
      </w:r>
    </w:p>
    <w:p>
      <w:pPr>
        <w:spacing w:after="0" w:line="21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3E474E"/>
        </w:rPr>
        <w:t>Based on our review of the copies of such forms, and/or on written representations from the reporting persons for the fiscal year, we believe that these filing requirements were satisfied by the reporting persons during the fiscal year ended December 31, 2025.</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1478A3"/>
        </w:rPr>
        <w:t>Other Matters to Come Before the 2026 Annual Meeting</w:t>
      </w:r>
    </w:p>
    <w:p>
      <w:pPr>
        <w:spacing w:after="0" w:line="5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3E474E"/>
        </w:rPr>
        <w:t>No other matters are to be presented for action at the Annual Meeting other than as set forth in this Proxy Statement. If other matters properly come before the meeting, however, the persons named in the accompanying proxy card will vote all proxies solicited by this Proxy Statement as recommended by our Board of Directors, or, if no such recommendation is given, in their own discretion.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1478A3"/>
        </w:rPr>
        <w:t>Stockholder Proposals and Communications with the Board</w:t>
      </w:r>
    </w:p>
    <w:p>
      <w:pPr>
        <w:spacing w:after="0" w:line="56"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3E474E"/>
        </w:rPr>
        <w:t>There are no stockholder proposals for consideration at our 2026 Annual Meeting of Stockholders. Stockholders who may wish to submit proposals, including director nominations, for consideration at our next annual meeting of stockholders expected to be held in 2027, may do so as follows: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3E474E"/>
        </w:rPr>
        <w:t>STOCKHOLDER PROPOSALS</w:t>
      </w:r>
    </w:p>
    <w:p>
      <w:pPr>
        <w:spacing w:after="0" w:line="2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3E474E"/>
        </w:rPr>
        <w:t>Any stockholder proposal pursuant to Rule 14a-8 of the rules promulgated under the Exchange Act to be considered for inclusion in our proxy materials for the 2027 annual meeting of stockholders must be received at our principal executive offices no later than December 31, 2026, and any stockholder proposal received after this date shall be considered untimely.</w:t>
      </w:r>
    </w:p>
    <w:p>
      <w:pPr>
        <w:spacing w:after="0" w:line="200"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3E474E"/>
        </w:rPr>
        <w:t>To submit a stockholder proposal for our 2027 Annual Meeting (other than a stockholder proposal for inclusion in the proxy statement in accordance with Rule 14a-8 under the Exchange Act), a stockholder must submit a proposal in accordance with our bylaws, and such proposal must be received by our Corporate Secretary by no earlier than December 1, 2026 and no later than December 31, 2026.</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3E474E"/>
        </w:rPr>
        <w:t>Proposals must be sent to our Corporate Secretary at our office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E474E"/>
        </w:rPr>
        <w:t>4605 Columbus Street, Virginia Beach, VA 23462</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3E474E"/>
        </w:rPr>
        <w:t>STOCKHOLDER RECOMMENDATIONS FOR POTENTIAL DIRECTOR NOMINEES</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6"/>
          <w:szCs w:val="16"/>
          <w:color w:val="3E474E"/>
        </w:rPr>
        <w:t>Any stockholder who wishes to propose a nominee to the Board or propose any other business to be considered by the stockholders (other than a stockholder proposal included in our proxy materials pursuant to Rule 14a-8 of the rules promulgated under the Exchange Act) must comply with the advance notice provisions and other requirements of Article II, Section 11 of our bylaws, which are on file with the SEC and may be obtained from Investor Relations upon request. These notice provisions require that nominations of persons for election to the Board of Directors and the proposal of business to be considered by the stockholders for the 2027 Annual Meeting must be received no earlier than December 1, 2026 and no later than December 31, 2026. In addition, stockholders who intend to solicit proxies in support of director nominees other than the Company’s nominees must comply with the additional requirements of Rule 14a-19(b) under the Exchange Act by no later than April 18, 2027.</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E474E"/>
        </w:rPr>
        <w:t>All nominations must be sent to our Corporate Secretary at our office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E474E"/>
        </w:rPr>
        <w:t>4605 Columbus Street, Virginia Beach, VA 23462</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3E474E"/>
        </w:rPr>
        <w:t>COMMUNICATION WITH THE BOARD</w:t>
      </w:r>
    </w:p>
    <w:p>
      <w:pPr>
        <w:spacing w:after="0" w:line="3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3E474E"/>
        </w:rPr>
        <w:t>Interested parties who wish to communicate with our Board or with a particular director, including our Independent Lead Director, may send a letter to the Corporate Secretary at our office at 4605 Columbus Street, Virginia Beach, VA 23462. The mailing envelope should contain a clear notation indicating that the enclosed letter is a "Board Communication" or "Director Communication." All such letters should identify the author and clearly state whether the intended recipients are all members of the Board or certain specified individual directors. The Corporate Secretary will deliver them to the appropriate director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1075690</wp:posOffset>
            </wp:positionV>
            <wp:extent cx="8255"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1075690</wp:posOffset>
            </wp:positionV>
            <wp:extent cx="8255"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120"/>
        <w:spacing w:after="0"/>
        <w:tabs>
          <w:tab w:leader="none" w:pos="540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62</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747C83"/>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478A3"/>
        </w:rPr>
        <w:t>Proxy Access Procedures for the 2027 Annual Meeting</w:t>
      </w:r>
    </w:p>
    <w:p>
      <w:pPr>
        <w:spacing w:after="0" w:line="56" w:lineRule="exact"/>
        <w:rPr>
          <w:sz w:val="20"/>
          <w:szCs w:val="20"/>
          <w:color w:val="auto"/>
        </w:rPr>
      </w:pPr>
    </w:p>
    <w:p>
      <w:pPr>
        <w:spacing w:after="0" w:line="257" w:lineRule="auto"/>
        <w:rPr>
          <w:sz w:val="20"/>
          <w:szCs w:val="20"/>
          <w:color w:val="auto"/>
        </w:rPr>
      </w:pPr>
      <w:r>
        <w:rPr>
          <w:rFonts w:ascii="Arial" w:cs="Arial" w:eastAsia="Arial" w:hAnsi="Arial"/>
          <w:sz w:val="16"/>
          <w:szCs w:val="16"/>
          <w:color w:val="3E474E"/>
        </w:rPr>
        <w:t>In order to be eligible to require that the Company include an eligible stockholder nominee in the proxy materials for the 2027 annual meeting of stockholders pursuant to Article II, Section 15 of the bylaws, an eligible stockholder must provide to the Corporate Secretary of the Company, in proper form and within the times specified below, (i) a written notice expressly electing to have such stockholder nominee included in the Company’s proxy materials pursuant to Article II, Section 15 of the bylaws (a “Notice of Proxy Access Nomination”) and (ii) any updates or supplements to such Notice of Proxy Access Nomination. To be timely, the Notice of Proxy Access Nomination must be delivered or mailed to and received by the Corporate Secretary at the principal executive office of the Company not earlier than the one hundred and fiftieth (150th) day (December 1, 2026) nor later than 5:00 p.m., Eastern Time, on the one hundred and twentieth (120th) day (December 31, 2026) prior to the first anniversary of the date of this Proxy Statement. In addition, stockholders who intend to solicit proxies in support of a stockholder nominee must also comply with the additional requirements of Rule 14a-19(b). Such notice should be sent to our Corporate Secretary at 4605 Columbus Street, Virginia Beach, Virginia 23462. Please refer to the full text of our proxy access bylaw provisions for additional information and requirements. A copy of our bylaws may be obtained by writing to our Corporate Secretary at the address listed above or by visiting our investor relations website at https://ir.ahrealtytrust.com.</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1478A3"/>
        </w:rPr>
        <w:t>Householding of Proxy Materials</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3E474E"/>
        </w:rPr>
        <w:t>The SEC has adopted rules that permit companies and intermediaries (such as banks and brokers) to satisfy the delivery requirements for notices of annual meetings,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 This year, a single notice of the annual meeting of stockholders, or copy of the proxy statement and annual report, will be delivered to multiple stockholders sharing an address unless contrary instructions have been received from one or more of the affected stockholders.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bank or broker, and direct your written request to AH Realty Trust, Inc. at 4605 Columbus Street, Virginia Beach, Virginia 23462, Attention: Corporate Secretary, or contact Investor Relations by telephone at (757) 366-6684. Stockholders who currently receive multiple copies of the proxy statement at their address and would like to request householding of their communications should contact their bank or broker.</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3E474E"/>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234440" cy="522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344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3E474E"/>
        </w:rPr>
        <w:t>Y. Summer Chu</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EVP of Legal and Corporate Secretary</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Virginia Beach, Virginia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6A737B"/>
        </w:rPr>
        <w:t>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1478A3"/>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1478A3"/>
            </w:tcBorders>
          </w:tcPr>
          <w:p>
            <w:pPr>
              <w:jc w:val="right"/>
              <w:ind w:right="268"/>
              <w:spacing w:after="0"/>
              <w:rPr>
                <w:sz w:val="20"/>
                <w:szCs w:val="20"/>
                <w:color w:val="auto"/>
              </w:rPr>
            </w:pPr>
            <w:r>
              <w:rPr>
                <w:rFonts w:ascii="Arial" w:cs="Arial" w:eastAsia="Arial" w:hAnsi="Arial"/>
                <w:sz w:val="14"/>
                <w:szCs w:val="14"/>
                <w:color w:val="747C83"/>
              </w:rPr>
              <w:t>63</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Arial" w:cs="Arial" w:eastAsia="Arial" w:hAnsi="Arial"/>
          <w:sz w:val="43"/>
          <w:szCs w:val="43"/>
          <w:b w:val="1"/>
          <w:bCs w:val="1"/>
          <w:color w:val="1478A3"/>
        </w:rPr>
        <w:t>Appendix A</w:t>
      </w:r>
    </w:p>
    <w:p>
      <w:pPr>
        <w:spacing w:after="0" w:line="27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3E474E"/>
        </w:rPr>
        <w:t>For a comprehensive assessment of the Company’s performance, please review the entire Proxy Statement and our Annual Report on Form 10-K for the year ended December 31, 2025, which can be found on our website https://ir.ahrealtytrust.com and on the SEC’s website, www.sec.gov. A copy of our Form 10-K has been provided to each person solicited by means of this Proxy Statement.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1478A3"/>
        </w:rPr>
        <w:t>Reconciliation of FFO and Normalized FFO to Net Income</w:t>
      </w:r>
    </w:p>
    <w:p>
      <w:pPr>
        <w:spacing w:after="0" w:line="5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3E474E"/>
        </w:rPr>
        <w:t>We calculate FFO in accordance with the standards established by Nareit. Nareit defines FFO as net income (loss) (calculated in accordance with GAAP), excluding depreciation and amortization related to real estate, gains or losses from the sales of certain real estate assets, gains or losses from change in control, and impairment write-downs of certain real estate assets and investments in entities when the impairment is directly attributable to decreases in the value of depreciable real estate held by the entity.</w:t>
      </w:r>
    </w:p>
    <w:p>
      <w:pPr>
        <w:spacing w:after="0" w:line="186" w:lineRule="exact"/>
        <w:rPr>
          <w:sz w:val="20"/>
          <w:szCs w:val="20"/>
          <w:color w:val="auto"/>
        </w:rPr>
      </w:pPr>
    </w:p>
    <w:p>
      <w:pPr>
        <w:ind w:right="220"/>
        <w:spacing w:after="0" w:line="247" w:lineRule="auto"/>
        <w:rPr>
          <w:sz w:val="20"/>
          <w:szCs w:val="20"/>
          <w:color w:val="auto"/>
        </w:rPr>
      </w:pPr>
      <w:r>
        <w:rPr>
          <w:rFonts w:ascii="Arial" w:cs="Arial" w:eastAsia="Arial" w:hAnsi="Arial"/>
          <w:sz w:val="16"/>
          <w:szCs w:val="16"/>
          <w:color w:val="3E474E"/>
        </w:rPr>
        <w:t>FFO is a supplemental non-GAAP financial measure. Management uses FFO as a supplemental performance measure because we believe that FFO is beneficial to investors as a starting point in measuring our operational performance. Specifically, in excluding real estate related depreciation and amortization and gains and losses from property dispositions, which do not relate to or are not indicative of operating performance, FFO provides a performance measure that, when compared period-over-period, captures trends in occupancy rates, rental rates, and operating costs. Other equity REITs may not calculate FFO in accordance with the Nareit definition as we do, and, accordingly, our FFO may not be comparable to such other REITs' FFO.</w:t>
      </w:r>
    </w:p>
    <w:p>
      <w:pPr>
        <w:spacing w:after="0" w:line="22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3E474E"/>
        </w:rPr>
        <w:t>However, because FFO excludes depreciation and amortization and captures neither the changes in the value of our properties that result from use or market conditions nor the level of capital expenditures and leasing commissions necessary to maintain the operating performance of our properties, all of which have real economic effects and could materially impact our results from operations, the utility of FFO as a measure of our performance is limited. Accordingly, FFO should be considered only as a supplement to net income as a measure of our performance. FFO should not be used as a measure of our liquidity, nor is it indicative of funds available to fund our cash needs, including our ability to pay dividends or service indebtedness. Also, FFO should not be used as a supplement to or substitute for cash flow from operating activities computed in accordance with GAAP.</w:t>
      </w: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6"/>
          <w:szCs w:val="16"/>
          <w:color w:val="3E474E"/>
        </w:rPr>
        <w:t>We also believe that the computation of FFO in accordance with Nareit’s definition includes certain items that are not indicative of the results provided by our operating property portfolio and affect the comparability of our period-over-period performance. Accordingly, management believes that Normalized FFO is a more useful performance measure that excludes certain items, including but not limited to, acquisition, development, and other pursuit costs, debt extinguishment losses, prepayment penalties, impairment and accelerated amortization of intangible assets and liabilities, mark-to-market adjustments for interest rate derivatives not designated as cash flow hedges, amortization of payments made to purchase interest rate caps and swaps designated as cash flow hedges, provision for unrealized non-cash credit losses, amortization of right-of-use assets attributable to finance leases, severance-related costs, and other non-comparable items. Other equity REITs may not calculate Normalized FFO in the same manner as we do, and, accordingly, our Normalized FFO may not be comparable to such other REITs' Normalized 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3140710</wp:posOffset>
            </wp:positionV>
            <wp:extent cx="8255"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3140710</wp:posOffset>
            </wp:positionV>
            <wp:extent cx="8255"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ectPr>
          <w:pgSz w:w="11900" w:h="16838" w:orient="portrait"/>
          <w:cols w:equalWidth="0" w:num="1">
            <w:col w:w="11200"/>
          </w:cols>
          <w:pgMar w:left="320" w:top="140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120"/>
        <w:spacing w:after="0"/>
        <w:tabs>
          <w:tab w:leader="none" w:pos="5380" w:val="left"/>
          <w:tab w:leader="none" w:pos="6520" w:val="left"/>
        </w:tabs>
        <w:rPr>
          <w:sz w:val="20"/>
          <w:szCs w:val="20"/>
          <w:color w:val="auto"/>
        </w:rPr>
      </w:pPr>
      <w:r>
        <w:rPr>
          <w:rFonts w:ascii="Arial" w:cs="Arial" w:eastAsia="Arial" w:hAnsi="Arial"/>
          <w:sz w:val="14"/>
          <w:szCs w:val="14"/>
          <w:color w:val="747C83"/>
        </w:rPr>
        <w:t>AH Realty Trust, Inc.</w:t>
      </w:r>
      <w:r>
        <w:rPr>
          <w:sz w:val="20"/>
          <w:szCs w:val="20"/>
          <w:color w:val="auto"/>
        </w:rPr>
        <w:tab/>
      </w:r>
      <w:r>
        <w:rPr>
          <w:rFonts w:ascii="Arial" w:cs="Arial" w:eastAsia="Arial" w:hAnsi="Arial"/>
          <w:sz w:val="14"/>
          <w:szCs w:val="14"/>
          <w:color w:val="747C83"/>
        </w:rPr>
        <w:t>A-1</w:t>
      </w:r>
      <w:r>
        <w:rPr>
          <w:sz w:val="20"/>
          <w:szCs w:val="20"/>
          <w:color w:val="auto"/>
        </w:rPr>
        <w:tab/>
      </w:r>
      <w:r>
        <w:rPr>
          <w:rFonts w:ascii="Arial" w:cs="Arial" w:eastAsia="Arial" w:hAnsi="Arial"/>
          <w:sz w:val="14"/>
          <w:szCs w:val="14"/>
          <w:color w:val="747C83"/>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6" w:right="379" w:bottom="1440" w:gutter="0" w:footer="0" w:header="0"/>
          <w:type w:val="continuous"/>
        </w:sectPr>
      </w:pPr>
    </w:p>
    <w:bookmarkStart w:id="73" w:name="page74"/>
    <w:bookmarkEnd w:id="73"/>
    <w:p>
      <w:pPr>
        <w:ind w:right="160"/>
        <w:spacing w:after="0" w:line="286" w:lineRule="auto"/>
        <w:rPr>
          <w:sz w:val="20"/>
          <w:szCs w:val="20"/>
          <w:color w:val="auto"/>
        </w:rPr>
      </w:pPr>
      <w:r>
        <w:rPr>
          <w:rFonts w:ascii="Arial" w:cs="Arial" w:eastAsia="Arial" w:hAnsi="Arial"/>
          <w:sz w:val="16"/>
          <w:szCs w:val="16"/>
          <w:color w:val="3E474E"/>
        </w:rPr>
        <w:t>The following table sets forth a reconciliation of FFO and Normalized FFO for each of the years ended December 31, 2025, 2024, 2023, 2022, and 2021 to net income, the most directly comparable GAAP measure (amounts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80" w:type="dxa"/>
            <w:vAlign w:val="bottom"/>
            <w:tcBorders>
              <w:bottom w:val="single" w:sz="8" w:color="E3EAEE"/>
            </w:tcBorders>
            <w:shd w:val="clear" w:color="auto" w:fill="E3EAEE"/>
          </w:tcPr>
          <w:p>
            <w:pPr>
              <w:spacing w:after="0"/>
              <w:rPr>
                <w:sz w:val="21"/>
                <w:szCs w:val="21"/>
                <w:color w:val="auto"/>
              </w:rPr>
            </w:pPr>
          </w:p>
        </w:tc>
        <w:tc>
          <w:tcPr>
            <w:tcW w:w="860" w:type="dxa"/>
            <w:vAlign w:val="bottom"/>
            <w:tcBorders>
              <w:bottom w:val="single" w:sz="8" w:color="007AA7"/>
            </w:tcBorders>
            <w:shd w:val="clear" w:color="auto" w:fill="E3EAEE"/>
          </w:tcPr>
          <w:p>
            <w:pPr>
              <w:spacing w:after="0"/>
              <w:rPr>
                <w:sz w:val="21"/>
                <w:szCs w:val="21"/>
                <w:color w:val="auto"/>
              </w:rPr>
            </w:pPr>
          </w:p>
        </w:tc>
        <w:tc>
          <w:tcPr>
            <w:tcW w:w="2980" w:type="dxa"/>
            <w:vAlign w:val="bottom"/>
            <w:tcBorders>
              <w:bottom w:val="single" w:sz="8" w:color="007AA7"/>
            </w:tcBorders>
            <w:gridSpan w:val="3"/>
            <w:shd w:val="clear" w:color="auto" w:fill="E3EAEE"/>
          </w:tcPr>
          <w:p>
            <w:pPr>
              <w:jc w:val="right"/>
              <w:ind w:right="399"/>
              <w:spacing w:after="0"/>
              <w:rPr>
                <w:sz w:val="20"/>
                <w:szCs w:val="20"/>
                <w:color w:val="auto"/>
              </w:rPr>
            </w:pPr>
            <w:r>
              <w:rPr>
                <w:rFonts w:ascii="Arial" w:cs="Arial" w:eastAsia="Arial" w:hAnsi="Arial"/>
                <w:sz w:val="16"/>
                <w:szCs w:val="16"/>
                <w:b w:val="1"/>
                <w:bCs w:val="1"/>
                <w:color w:val="1478A3"/>
              </w:rPr>
              <w:t>Years Ended December 31,</w:t>
            </w:r>
          </w:p>
        </w:tc>
        <w:tc>
          <w:tcPr>
            <w:tcW w:w="800" w:type="dxa"/>
            <w:vAlign w:val="bottom"/>
            <w:tcBorders>
              <w:bottom w:val="single" w:sz="8" w:color="007AA7"/>
            </w:tcBorders>
            <w:shd w:val="clear" w:color="auto" w:fill="E3EAEE"/>
          </w:tcPr>
          <w:p>
            <w:pPr>
              <w:spacing w:after="0"/>
              <w:rPr>
                <w:sz w:val="21"/>
                <w:szCs w:val="21"/>
                <w:color w:val="auto"/>
              </w:rPr>
            </w:pPr>
          </w:p>
        </w:tc>
      </w:tr>
      <w:tr>
        <w:trPr>
          <w:trHeight w:val="233"/>
        </w:trPr>
        <w:tc>
          <w:tcPr>
            <w:tcW w:w="6580" w:type="dxa"/>
            <w:vAlign w:val="bottom"/>
            <w:tcBorders>
              <w:bottom w:val="single" w:sz="8" w:color="007AA7"/>
            </w:tcBorders>
            <w:shd w:val="clear" w:color="auto" w:fill="E3EAEE"/>
          </w:tcPr>
          <w:p>
            <w:pPr>
              <w:spacing w:after="0"/>
              <w:rPr>
                <w:sz w:val="20"/>
                <w:szCs w:val="20"/>
                <w:color w:val="auto"/>
              </w:rPr>
            </w:pPr>
          </w:p>
        </w:tc>
        <w:tc>
          <w:tcPr>
            <w:tcW w:w="860" w:type="dxa"/>
            <w:vAlign w:val="bottom"/>
            <w:tcBorders>
              <w:bottom w:val="single" w:sz="8" w:color="026DCE"/>
            </w:tcBorders>
            <w:shd w:val="clear" w:color="auto" w:fill="E3EAEE"/>
          </w:tcPr>
          <w:p>
            <w:pPr>
              <w:jc w:val="right"/>
              <w:spacing w:after="0"/>
              <w:rPr>
                <w:sz w:val="20"/>
                <w:szCs w:val="20"/>
                <w:color w:val="auto"/>
              </w:rPr>
            </w:pPr>
            <w:r>
              <w:rPr>
                <w:rFonts w:ascii="Arial" w:cs="Arial" w:eastAsia="Arial" w:hAnsi="Arial"/>
                <w:sz w:val="16"/>
                <w:szCs w:val="16"/>
                <w:b w:val="1"/>
                <w:bCs w:val="1"/>
                <w:color w:val="1478A3"/>
              </w:rPr>
              <w:t>2025</w:t>
            </w:r>
          </w:p>
        </w:tc>
        <w:tc>
          <w:tcPr>
            <w:tcW w:w="1100" w:type="dxa"/>
            <w:vAlign w:val="bottom"/>
            <w:tcBorders>
              <w:bottom w:val="single" w:sz="8" w:color="026DCE"/>
            </w:tcBorders>
            <w:shd w:val="clear" w:color="auto" w:fill="E3EAEE"/>
          </w:tcPr>
          <w:p>
            <w:pPr>
              <w:jc w:val="right"/>
              <w:ind w:right="79"/>
              <w:spacing w:after="0"/>
              <w:rPr>
                <w:sz w:val="20"/>
                <w:szCs w:val="20"/>
                <w:color w:val="auto"/>
              </w:rPr>
            </w:pPr>
            <w:r>
              <w:rPr>
                <w:rFonts w:ascii="Arial" w:cs="Arial" w:eastAsia="Arial" w:hAnsi="Arial"/>
                <w:sz w:val="16"/>
                <w:szCs w:val="16"/>
                <w:b w:val="1"/>
                <w:bCs w:val="1"/>
                <w:color w:val="1478A3"/>
              </w:rPr>
              <w:t>2024</w:t>
            </w:r>
          </w:p>
        </w:tc>
        <w:tc>
          <w:tcPr>
            <w:tcW w:w="940" w:type="dxa"/>
            <w:vAlign w:val="bottom"/>
            <w:tcBorders>
              <w:bottom w:val="single" w:sz="8" w:color="026DCE"/>
            </w:tcBorders>
            <w:shd w:val="clear" w:color="auto" w:fill="E3EAEE"/>
          </w:tcPr>
          <w:p>
            <w:pPr>
              <w:jc w:val="right"/>
              <w:ind w:right="59"/>
              <w:spacing w:after="0"/>
              <w:rPr>
                <w:sz w:val="20"/>
                <w:szCs w:val="20"/>
                <w:color w:val="auto"/>
              </w:rPr>
            </w:pPr>
            <w:r>
              <w:rPr>
                <w:rFonts w:ascii="Arial" w:cs="Arial" w:eastAsia="Arial" w:hAnsi="Arial"/>
                <w:sz w:val="16"/>
                <w:szCs w:val="16"/>
                <w:b w:val="1"/>
                <w:bCs w:val="1"/>
                <w:color w:val="1478A3"/>
              </w:rPr>
              <w:t>2023</w:t>
            </w:r>
          </w:p>
        </w:tc>
        <w:tc>
          <w:tcPr>
            <w:tcW w:w="940" w:type="dxa"/>
            <w:vAlign w:val="bottom"/>
            <w:tcBorders>
              <w:bottom w:val="single" w:sz="8" w:color="026DCE"/>
            </w:tcBorders>
            <w:shd w:val="clear" w:color="auto" w:fill="E3EAEE"/>
          </w:tcPr>
          <w:p>
            <w:pPr>
              <w:jc w:val="right"/>
              <w:ind w:right="79"/>
              <w:spacing w:after="0"/>
              <w:rPr>
                <w:sz w:val="20"/>
                <w:szCs w:val="20"/>
                <w:color w:val="auto"/>
              </w:rPr>
            </w:pPr>
            <w:r>
              <w:rPr>
                <w:rFonts w:ascii="Arial" w:cs="Arial" w:eastAsia="Arial" w:hAnsi="Arial"/>
                <w:sz w:val="16"/>
                <w:szCs w:val="16"/>
                <w:b w:val="1"/>
                <w:bCs w:val="1"/>
                <w:color w:val="1478A3"/>
              </w:rPr>
              <w:t>2022</w:t>
            </w:r>
          </w:p>
        </w:tc>
        <w:tc>
          <w:tcPr>
            <w:tcW w:w="800" w:type="dxa"/>
            <w:vAlign w:val="bottom"/>
            <w:tcBorders>
              <w:bottom w:val="single" w:sz="8" w:color="026DCE"/>
            </w:tcBorders>
            <w:shd w:val="clear" w:color="auto" w:fill="E3EAEE"/>
          </w:tcPr>
          <w:p>
            <w:pPr>
              <w:jc w:val="right"/>
              <w:spacing w:after="0"/>
              <w:rPr>
                <w:sz w:val="20"/>
                <w:szCs w:val="20"/>
                <w:color w:val="auto"/>
              </w:rPr>
            </w:pPr>
            <w:r>
              <w:rPr>
                <w:rFonts w:ascii="Arial" w:cs="Arial" w:eastAsia="Arial" w:hAnsi="Arial"/>
                <w:sz w:val="16"/>
                <w:szCs w:val="16"/>
                <w:b w:val="1"/>
                <w:bCs w:val="1"/>
                <w:color w:val="1478A3"/>
              </w:rPr>
              <w:t>2021</w:t>
            </w:r>
          </w:p>
        </w:tc>
      </w:tr>
      <w:tr>
        <w:trPr>
          <w:trHeight w:val="274"/>
        </w:trPr>
        <w:tc>
          <w:tcPr>
            <w:tcW w:w="6580" w:type="dxa"/>
            <w:vAlign w:val="bottom"/>
            <w:tcBorders>
              <w:bottom w:val="single" w:sz="8" w:color="E3EAEE"/>
            </w:tcBorders>
            <w:shd w:val="clear" w:color="auto" w:fill="E3EAEE"/>
          </w:tcPr>
          <w:p>
            <w:pPr>
              <w:ind w:left="20"/>
              <w:spacing w:after="0"/>
              <w:rPr>
                <w:sz w:val="20"/>
                <w:szCs w:val="20"/>
                <w:color w:val="auto"/>
              </w:rPr>
            </w:pPr>
            <w:r>
              <w:rPr>
                <w:rFonts w:ascii="Arial" w:cs="Arial" w:eastAsia="Arial" w:hAnsi="Arial"/>
                <w:sz w:val="16"/>
                <w:szCs w:val="16"/>
                <w:b w:val="1"/>
                <w:bCs w:val="1"/>
                <w:color w:val="3E474E"/>
              </w:rPr>
              <w:t>Net income (loss) attributable to common stockholders and OP Unitholders</w:t>
            </w:r>
          </w:p>
        </w:tc>
        <w:tc>
          <w:tcPr>
            <w:tcW w:w="86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b w:val="1"/>
                <w:bCs w:val="1"/>
                <w:color w:val="3E474E"/>
              </w:rPr>
              <w:t>(7,541)</w:t>
            </w:r>
          </w:p>
        </w:tc>
        <w:tc>
          <w:tcPr>
            <w:tcW w:w="1100" w:type="dxa"/>
            <w:vAlign w:val="bottom"/>
            <w:tcBorders>
              <w:bottom w:val="single" w:sz="8" w:color="E3EAEE"/>
            </w:tcBorders>
            <w:shd w:val="clear" w:color="auto" w:fill="E3EAEE"/>
          </w:tcPr>
          <w:p>
            <w:pPr>
              <w:jc w:val="right"/>
              <w:ind w:right="139"/>
              <w:spacing w:after="0"/>
              <w:rPr>
                <w:sz w:val="20"/>
                <w:szCs w:val="20"/>
                <w:color w:val="auto"/>
              </w:rPr>
            </w:pPr>
            <w:r>
              <w:rPr>
                <w:rFonts w:ascii="Arial" w:cs="Arial" w:eastAsia="Arial" w:hAnsi="Arial"/>
                <w:sz w:val="16"/>
                <w:szCs w:val="16"/>
                <w:b w:val="1"/>
                <w:bCs w:val="1"/>
                <w:color w:val="3E474E"/>
              </w:rPr>
              <w:t>30,903</w:t>
            </w:r>
          </w:p>
        </w:tc>
        <w:tc>
          <w:tcPr>
            <w:tcW w:w="940" w:type="dxa"/>
            <w:vAlign w:val="bottom"/>
            <w:tcBorders>
              <w:bottom w:val="single" w:sz="8" w:color="E3EAEE"/>
            </w:tcBorders>
            <w:shd w:val="clear" w:color="auto" w:fill="E3EAEE"/>
          </w:tcPr>
          <w:p>
            <w:pPr>
              <w:jc w:val="right"/>
              <w:ind w:right="79"/>
              <w:spacing w:after="0"/>
              <w:rPr>
                <w:sz w:val="20"/>
                <w:szCs w:val="20"/>
                <w:color w:val="auto"/>
              </w:rPr>
            </w:pPr>
            <w:r>
              <w:rPr>
                <w:rFonts w:ascii="Arial" w:cs="Arial" w:eastAsia="Arial" w:hAnsi="Arial"/>
                <w:sz w:val="16"/>
                <w:szCs w:val="16"/>
                <w:b w:val="1"/>
                <w:bCs w:val="1"/>
                <w:color w:val="3E474E"/>
              </w:rPr>
              <w:t>(4,490)</w:t>
            </w:r>
          </w:p>
        </w:tc>
        <w:tc>
          <w:tcPr>
            <w:tcW w:w="940" w:type="dxa"/>
            <w:vAlign w:val="bottom"/>
            <w:tcBorders>
              <w:bottom w:val="single" w:sz="8" w:color="E3EAEE"/>
            </w:tcBorders>
            <w:shd w:val="clear" w:color="auto" w:fill="E3EAEE"/>
          </w:tcPr>
          <w:p>
            <w:pPr>
              <w:jc w:val="right"/>
              <w:ind w:right="139"/>
              <w:spacing w:after="0"/>
              <w:rPr>
                <w:sz w:val="20"/>
                <w:szCs w:val="20"/>
                <w:color w:val="auto"/>
              </w:rPr>
            </w:pPr>
            <w:r>
              <w:rPr>
                <w:rFonts w:ascii="Arial" w:cs="Arial" w:eastAsia="Arial" w:hAnsi="Arial"/>
                <w:sz w:val="16"/>
                <w:szCs w:val="16"/>
                <w:b w:val="1"/>
                <w:bCs w:val="1"/>
                <w:color w:val="3E474E"/>
              </w:rPr>
              <w:t>82,457</w:t>
            </w:r>
          </w:p>
        </w:tc>
        <w:tc>
          <w:tcPr>
            <w:tcW w:w="800" w:type="dxa"/>
            <w:vAlign w:val="bottom"/>
            <w:tcBorders>
              <w:bottom w:val="single" w:sz="8" w:color="E3EAEE"/>
            </w:tcBorders>
            <w:shd w:val="clear" w:color="auto" w:fill="E3EAEE"/>
          </w:tcPr>
          <w:p>
            <w:pPr>
              <w:jc w:val="right"/>
              <w:spacing w:after="0"/>
              <w:rPr>
                <w:sz w:val="20"/>
                <w:szCs w:val="20"/>
                <w:color w:val="auto"/>
              </w:rPr>
            </w:pPr>
            <w:r>
              <w:rPr>
                <w:rFonts w:ascii="Arial" w:cs="Arial" w:eastAsia="Arial" w:hAnsi="Arial"/>
                <w:sz w:val="16"/>
                <w:szCs w:val="16"/>
                <w:b w:val="1"/>
                <w:bCs w:val="1"/>
                <w:color w:val="3E474E"/>
              </w:rPr>
              <w:t>13,912</w:t>
            </w:r>
          </w:p>
        </w:tc>
      </w:tr>
      <w:tr>
        <w:trPr>
          <w:trHeight w:val="243"/>
        </w:trPr>
        <w:tc>
          <w:tcPr>
            <w:tcW w:w="6580" w:type="dxa"/>
            <w:vAlign w:val="bottom"/>
          </w:tcPr>
          <w:p>
            <w:pPr>
              <w:ind w:left="140"/>
              <w:spacing w:after="0"/>
              <w:rPr>
                <w:sz w:val="20"/>
                <w:szCs w:val="20"/>
                <w:color w:val="auto"/>
              </w:rPr>
            </w:pPr>
            <w:r>
              <w:rPr>
                <w:rFonts w:ascii="Arial" w:cs="Arial" w:eastAsia="Arial" w:hAnsi="Arial"/>
                <w:sz w:val="16"/>
                <w:szCs w:val="16"/>
                <w:color w:val="3E474E"/>
              </w:rPr>
              <w:t xml:space="preserve">Depreciation and amortization </w:t>
            </w:r>
            <w:r>
              <w:rPr>
                <w:rFonts w:ascii="Arial" w:cs="Arial" w:eastAsia="Arial" w:hAnsi="Arial"/>
                <w:sz w:val="21"/>
                <w:szCs w:val="21"/>
                <w:color w:val="3E474E"/>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3E474E"/>
              </w:rPr>
              <w:t>93,541</w:t>
            </w:r>
          </w:p>
        </w:tc>
        <w:tc>
          <w:tcPr>
            <w:tcW w:w="1100" w:type="dxa"/>
            <w:vAlign w:val="bottom"/>
          </w:tcPr>
          <w:p>
            <w:pPr>
              <w:jc w:val="right"/>
              <w:ind w:right="139"/>
              <w:spacing w:after="0"/>
              <w:rPr>
                <w:sz w:val="20"/>
                <w:szCs w:val="20"/>
                <w:color w:val="auto"/>
              </w:rPr>
            </w:pPr>
            <w:r>
              <w:rPr>
                <w:rFonts w:ascii="Arial" w:cs="Arial" w:eastAsia="Arial" w:hAnsi="Arial"/>
                <w:sz w:val="16"/>
                <w:szCs w:val="16"/>
                <w:color w:val="3E474E"/>
              </w:rPr>
              <w:t>88,754</w:t>
            </w:r>
          </w:p>
        </w:tc>
        <w:tc>
          <w:tcPr>
            <w:tcW w:w="940" w:type="dxa"/>
            <w:vAlign w:val="bottom"/>
          </w:tcPr>
          <w:p>
            <w:pPr>
              <w:jc w:val="right"/>
              <w:ind w:right="119"/>
              <w:spacing w:after="0"/>
              <w:rPr>
                <w:sz w:val="20"/>
                <w:szCs w:val="20"/>
                <w:color w:val="auto"/>
              </w:rPr>
            </w:pPr>
            <w:r>
              <w:rPr>
                <w:rFonts w:ascii="Arial" w:cs="Arial" w:eastAsia="Arial" w:hAnsi="Arial"/>
                <w:sz w:val="16"/>
                <w:szCs w:val="16"/>
                <w:color w:val="3E474E"/>
              </w:rPr>
              <w:t>95,208</w:t>
            </w:r>
          </w:p>
        </w:tc>
        <w:tc>
          <w:tcPr>
            <w:tcW w:w="940" w:type="dxa"/>
            <w:vAlign w:val="bottom"/>
          </w:tcPr>
          <w:p>
            <w:pPr>
              <w:jc w:val="right"/>
              <w:ind w:right="139"/>
              <w:spacing w:after="0"/>
              <w:rPr>
                <w:sz w:val="20"/>
                <w:szCs w:val="20"/>
                <w:color w:val="auto"/>
              </w:rPr>
            </w:pPr>
            <w:r>
              <w:rPr>
                <w:rFonts w:ascii="Arial" w:cs="Arial" w:eastAsia="Arial" w:hAnsi="Arial"/>
                <w:sz w:val="16"/>
                <w:szCs w:val="16"/>
                <w:color w:val="3E474E"/>
              </w:rPr>
              <w:t>71,971</w:t>
            </w:r>
          </w:p>
        </w:tc>
        <w:tc>
          <w:tcPr>
            <w:tcW w:w="800" w:type="dxa"/>
            <w:vAlign w:val="bottom"/>
          </w:tcPr>
          <w:p>
            <w:pPr>
              <w:jc w:val="right"/>
              <w:spacing w:after="0"/>
              <w:rPr>
                <w:sz w:val="20"/>
                <w:szCs w:val="20"/>
                <w:color w:val="auto"/>
              </w:rPr>
            </w:pPr>
            <w:r>
              <w:rPr>
                <w:rFonts w:ascii="Arial" w:cs="Arial" w:eastAsia="Arial" w:hAnsi="Arial"/>
                <w:sz w:val="16"/>
                <w:szCs w:val="16"/>
                <w:color w:val="3E474E"/>
              </w:rPr>
              <w:t>68,853</w:t>
            </w:r>
          </w:p>
        </w:tc>
      </w:tr>
      <w:tr>
        <w:trPr>
          <w:trHeight w:val="243"/>
        </w:trPr>
        <w:tc>
          <w:tcPr>
            <w:tcW w:w="658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Loss (gain) on consolidation of real estate assets</w:t>
            </w:r>
          </w:p>
        </w:tc>
        <w:tc>
          <w:tcPr>
            <w:tcW w:w="8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(6,646)</w:t>
            </w:r>
          </w:p>
        </w:tc>
        <w:tc>
          <w:tcPr>
            <w:tcW w:w="110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w:t>
            </w:r>
          </w:p>
        </w:tc>
        <w:tc>
          <w:tcPr>
            <w:tcW w:w="940" w:type="dxa"/>
            <w:vAlign w:val="bottom"/>
            <w:shd w:val="clear" w:color="auto" w:fill="E3EAEE"/>
          </w:tcPr>
          <w:p>
            <w:pPr>
              <w:jc w:val="right"/>
              <w:ind w:right="119"/>
              <w:spacing w:after="0"/>
              <w:rPr>
                <w:sz w:val="20"/>
                <w:szCs w:val="20"/>
                <w:color w:val="auto"/>
              </w:rPr>
            </w:pPr>
            <w:r>
              <w:rPr>
                <w:rFonts w:ascii="Arial" w:cs="Arial" w:eastAsia="Arial" w:hAnsi="Arial"/>
                <w:sz w:val="16"/>
                <w:szCs w:val="16"/>
                <w:color w:val="3E474E"/>
              </w:rPr>
              <w:t>—</w:t>
            </w:r>
          </w:p>
        </w:tc>
        <w:tc>
          <w:tcPr>
            <w:tcW w:w="94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w:t>
            </w:r>
          </w:p>
        </w:tc>
        <w:tc>
          <w:tcPr>
            <w:tcW w:w="8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r>
      <w:tr>
        <w:trPr>
          <w:trHeight w:val="243"/>
        </w:trPr>
        <w:tc>
          <w:tcPr>
            <w:tcW w:w="6580" w:type="dxa"/>
            <w:vAlign w:val="bottom"/>
          </w:tcPr>
          <w:p>
            <w:pPr>
              <w:ind w:left="140"/>
              <w:spacing w:after="0"/>
              <w:rPr>
                <w:sz w:val="20"/>
                <w:szCs w:val="20"/>
                <w:color w:val="auto"/>
              </w:rPr>
            </w:pPr>
            <w:r>
              <w:rPr>
                <w:rFonts w:ascii="Arial" w:cs="Arial" w:eastAsia="Arial" w:hAnsi="Arial"/>
                <w:sz w:val="16"/>
                <w:szCs w:val="16"/>
                <w:color w:val="3E474E"/>
              </w:rPr>
              <w:t xml:space="preserve">Gain on operating real estate dispositions, net </w:t>
            </w:r>
            <w:r>
              <w:rPr>
                <w:rFonts w:ascii="Arial" w:cs="Arial" w:eastAsia="Arial" w:hAnsi="Arial"/>
                <w:sz w:val="21"/>
                <w:szCs w:val="21"/>
                <w:color w:val="3E474E"/>
                <w:vertAlign w:val="superscript"/>
              </w:rPr>
              <w:t>(2)</w:t>
            </w:r>
          </w:p>
        </w:tc>
        <w:tc>
          <w:tcPr>
            <w:tcW w:w="860" w:type="dxa"/>
            <w:vAlign w:val="bottom"/>
          </w:tcPr>
          <w:p>
            <w:pPr>
              <w:jc w:val="right"/>
              <w:spacing w:after="0"/>
              <w:rPr>
                <w:sz w:val="20"/>
                <w:szCs w:val="20"/>
                <w:color w:val="auto"/>
              </w:rPr>
            </w:pPr>
            <w:r>
              <w:rPr>
                <w:rFonts w:ascii="Arial" w:cs="Arial" w:eastAsia="Arial" w:hAnsi="Arial"/>
                <w:sz w:val="16"/>
                <w:szCs w:val="16"/>
                <w:color w:val="3E474E"/>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3E474E"/>
              </w:rPr>
              <w:t>(21,305)</w:t>
            </w:r>
          </w:p>
        </w:tc>
        <w:tc>
          <w:tcPr>
            <w:tcW w:w="940" w:type="dxa"/>
            <w:vAlign w:val="bottom"/>
          </w:tcPr>
          <w:p>
            <w:pPr>
              <w:jc w:val="right"/>
              <w:ind w:right="119"/>
              <w:spacing w:after="0"/>
              <w:rPr>
                <w:sz w:val="20"/>
                <w:szCs w:val="20"/>
                <w:color w:val="auto"/>
              </w:rPr>
            </w:pPr>
            <w:r>
              <w:rPr>
                <w:rFonts w:ascii="Arial" w:cs="Arial" w:eastAsia="Arial" w:hAnsi="Arial"/>
                <w:sz w:val="16"/>
                <w:szCs w:val="16"/>
                <w:color w:val="3E474E"/>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3E474E"/>
              </w:rPr>
              <w:t>(47,984)</w:t>
            </w:r>
          </w:p>
        </w:tc>
        <w:tc>
          <w:tcPr>
            <w:tcW w:w="800" w:type="dxa"/>
            <w:vAlign w:val="bottom"/>
          </w:tcPr>
          <w:p>
            <w:pPr>
              <w:jc w:val="right"/>
              <w:spacing w:after="0"/>
              <w:rPr>
                <w:sz w:val="20"/>
                <w:szCs w:val="20"/>
                <w:color w:val="auto"/>
              </w:rPr>
            </w:pPr>
            <w:r>
              <w:rPr>
                <w:rFonts w:ascii="Arial" w:cs="Arial" w:eastAsia="Arial" w:hAnsi="Arial"/>
                <w:sz w:val="16"/>
                <w:szCs w:val="16"/>
                <w:color w:val="3E474E"/>
              </w:rPr>
              <w:t>(18,793)</w:t>
            </w:r>
          </w:p>
        </w:tc>
      </w:tr>
      <w:tr>
        <w:trPr>
          <w:trHeight w:val="243"/>
        </w:trPr>
        <w:tc>
          <w:tcPr>
            <w:tcW w:w="658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Impairment of real estate assets</w:t>
            </w:r>
          </w:p>
        </w:tc>
        <w:tc>
          <w:tcPr>
            <w:tcW w:w="8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373</w:t>
            </w:r>
          </w:p>
        </w:tc>
        <w:tc>
          <w:tcPr>
            <w:tcW w:w="110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1,494</w:t>
            </w:r>
          </w:p>
        </w:tc>
        <w:tc>
          <w:tcPr>
            <w:tcW w:w="940" w:type="dxa"/>
            <w:vAlign w:val="bottom"/>
            <w:shd w:val="clear" w:color="auto" w:fill="E3EAEE"/>
          </w:tcPr>
          <w:p>
            <w:pPr>
              <w:jc w:val="right"/>
              <w:ind w:right="119"/>
              <w:spacing w:after="0"/>
              <w:rPr>
                <w:sz w:val="20"/>
                <w:szCs w:val="20"/>
                <w:color w:val="auto"/>
              </w:rPr>
            </w:pPr>
            <w:r>
              <w:rPr>
                <w:rFonts w:ascii="Arial" w:cs="Arial" w:eastAsia="Arial" w:hAnsi="Arial"/>
                <w:sz w:val="16"/>
                <w:szCs w:val="16"/>
                <w:color w:val="3E474E"/>
              </w:rPr>
              <w:t>—</w:t>
            </w:r>
          </w:p>
        </w:tc>
        <w:tc>
          <w:tcPr>
            <w:tcW w:w="94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201</w:t>
            </w:r>
          </w:p>
        </w:tc>
        <w:tc>
          <w:tcPr>
            <w:tcW w:w="8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21,378</w:t>
            </w:r>
          </w:p>
        </w:tc>
      </w:tr>
      <w:tr>
        <w:trPr>
          <w:trHeight w:val="263"/>
        </w:trPr>
        <w:tc>
          <w:tcPr>
            <w:tcW w:w="6580" w:type="dxa"/>
            <w:vAlign w:val="bottom"/>
          </w:tcPr>
          <w:p>
            <w:pPr>
              <w:ind w:left="20"/>
              <w:spacing w:after="0"/>
              <w:rPr>
                <w:sz w:val="20"/>
                <w:szCs w:val="20"/>
                <w:color w:val="auto"/>
              </w:rPr>
            </w:pPr>
            <w:r>
              <w:rPr>
                <w:rFonts w:ascii="Arial" w:cs="Arial" w:eastAsia="Arial" w:hAnsi="Arial"/>
                <w:sz w:val="16"/>
                <w:szCs w:val="16"/>
                <w:b w:val="1"/>
                <w:bCs w:val="1"/>
                <w:color w:val="3E474E"/>
              </w:rPr>
              <w:t>FFO attributable to common stockholders and OP Unitholders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3E474E"/>
              </w:rPr>
              <w:t>79,727</w:t>
            </w: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3E474E"/>
              </w:rPr>
              <w:t>99,846</w:t>
            </w: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3E474E"/>
              </w:rPr>
              <w:t>90,718</w:t>
            </w: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3E474E"/>
              </w:rPr>
              <w:t>106,645</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3E474E"/>
              </w:rPr>
              <w:t>85,350</w:t>
            </w:r>
          </w:p>
        </w:tc>
      </w:tr>
      <w:tr>
        <w:trPr>
          <w:trHeight w:val="35"/>
        </w:trPr>
        <w:tc>
          <w:tcPr>
            <w:tcW w:w="6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658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Acquisition, development, and other pursuit costs</w:t>
            </w:r>
          </w:p>
        </w:tc>
        <w:tc>
          <w:tcPr>
            <w:tcW w:w="8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517</w:t>
            </w:r>
          </w:p>
        </w:tc>
        <w:tc>
          <w:tcPr>
            <w:tcW w:w="110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5,531</w:t>
            </w:r>
          </w:p>
        </w:tc>
        <w:tc>
          <w:tcPr>
            <w:tcW w:w="940" w:type="dxa"/>
            <w:vAlign w:val="bottom"/>
            <w:shd w:val="clear" w:color="auto" w:fill="E3EAEE"/>
          </w:tcPr>
          <w:p>
            <w:pPr>
              <w:jc w:val="right"/>
              <w:ind w:right="119"/>
              <w:spacing w:after="0"/>
              <w:rPr>
                <w:sz w:val="20"/>
                <w:szCs w:val="20"/>
                <w:color w:val="auto"/>
              </w:rPr>
            </w:pPr>
            <w:r>
              <w:rPr>
                <w:rFonts w:ascii="Arial" w:cs="Arial" w:eastAsia="Arial" w:hAnsi="Arial"/>
                <w:sz w:val="16"/>
                <w:szCs w:val="16"/>
                <w:color w:val="3E474E"/>
              </w:rPr>
              <w:t>84</w:t>
            </w:r>
          </w:p>
        </w:tc>
        <w:tc>
          <w:tcPr>
            <w:tcW w:w="94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37</w:t>
            </w:r>
          </w:p>
        </w:tc>
        <w:tc>
          <w:tcPr>
            <w:tcW w:w="8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112</w:t>
            </w:r>
          </w:p>
        </w:tc>
      </w:tr>
      <w:tr>
        <w:trPr>
          <w:trHeight w:val="235"/>
        </w:trPr>
        <w:tc>
          <w:tcPr>
            <w:tcW w:w="6580" w:type="dxa"/>
            <w:vAlign w:val="bottom"/>
          </w:tcPr>
          <w:p>
            <w:pPr>
              <w:ind w:left="140"/>
              <w:spacing w:after="0"/>
              <w:rPr>
                <w:sz w:val="20"/>
                <w:szCs w:val="20"/>
                <w:color w:val="auto"/>
              </w:rPr>
            </w:pPr>
            <w:r>
              <w:rPr>
                <w:rFonts w:ascii="Arial" w:cs="Arial" w:eastAsia="Arial" w:hAnsi="Arial"/>
                <w:sz w:val="16"/>
                <w:szCs w:val="16"/>
                <w:color w:val="3E474E"/>
              </w:rPr>
              <w:t>Accelerated amortization of intangible assets and liabilities</w:t>
            </w:r>
          </w:p>
        </w:tc>
        <w:tc>
          <w:tcPr>
            <w:tcW w:w="860" w:type="dxa"/>
            <w:vAlign w:val="bottom"/>
          </w:tcPr>
          <w:p>
            <w:pPr>
              <w:jc w:val="right"/>
              <w:spacing w:after="0"/>
              <w:rPr>
                <w:sz w:val="20"/>
                <w:szCs w:val="20"/>
                <w:color w:val="auto"/>
              </w:rPr>
            </w:pPr>
            <w:r>
              <w:rPr>
                <w:rFonts w:ascii="Arial" w:cs="Arial" w:eastAsia="Arial" w:hAnsi="Arial"/>
                <w:sz w:val="16"/>
                <w:szCs w:val="16"/>
                <w:color w:val="3E474E"/>
              </w:rPr>
              <w:t>(169)</w:t>
            </w:r>
          </w:p>
        </w:tc>
        <w:tc>
          <w:tcPr>
            <w:tcW w:w="1100" w:type="dxa"/>
            <w:vAlign w:val="bottom"/>
          </w:tcPr>
          <w:p>
            <w:pPr>
              <w:jc w:val="right"/>
              <w:ind w:right="99"/>
              <w:spacing w:after="0"/>
              <w:rPr>
                <w:sz w:val="20"/>
                <w:szCs w:val="20"/>
                <w:color w:val="auto"/>
              </w:rPr>
            </w:pPr>
            <w:r>
              <w:rPr>
                <w:rFonts w:ascii="Arial" w:cs="Arial" w:eastAsia="Arial" w:hAnsi="Arial"/>
                <w:sz w:val="16"/>
                <w:szCs w:val="16"/>
                <w:color w:val="3E474E"/>
              </w:rPr>
              <w:t>(5)</w:t>
            </w:r>
          </w:p>
        </w:tc>
        <w:tc>
          <w:tcPr>
            <w:tcW w:w="940" w:type="dxa"/>
            <w:vAlign w:val="bottom"/>
          </w:tcPr>
          <w:p>
            <w:pPr>
              <w:jc w:val="right"/>
              <w:ind w:right="79"/>
              <w:spacing w:after="0"/>
              <w:rPr>
                <w:sz w:val="20"/>
                <w:szCs w:val="20"/>
                <w:color w:val="auto"/>
              </w:rPr>
            </w:pPr>
            <w:r>
              <w:rPr>
                <w:rFonts w:ascii="Arial" w:cs="Arial" w:eastAsia="Arial" w:hAnsi="Arial"/>
                <w:sz w:val="16"/>
                <w:szCs w:val="16"/>
                <w:color w:val="3E474E"/>
              </w:rPr>
              <w:t>(653)</w:t>
            </w:r>
          </w:p>
        </w:tc>
        <w:tc>
          <w:tcPr>
            <w:tcW w:w="940" w:type="dxa"/>
            <w:vAlign w:val="bottom"/>
          </w:tcPr>
          <w:p>
            <w:pPr>
              <w:jc w:val="right"/>
              <w:ind w:right="139"/>
              <w:spacing w:after="0"/>
              <w:rPr>
                <w:sz w:val="20"/>
                <w:szCs w:val="20"/>
                <w:color w:val="auto"/>
              </w:rPr>
            </w:pPr>
            <w:r>
              <w:rPr>
                <w:rFonts w:ascii="Arial" w:cs="Arial" w:eastAsia="Arial" w:hAnsi="Arial"/>
                <w:sz w:val="16"/>
                <w:szCs w:val="16"/>
                <w:color w:val="3E474E"/>
              </w:rPr>
              <w:t>215</w:t>
            </w:r>
          </w:p>
        </w:tc>
        <w:tc>
          <w:tcPr>
            <w:tcW w:w="800" w:type="dxa"/>
            <w:vAlign w:val="bottom"/>
          </w:tcPr>
          <w:p>
            <w:pPr>
              <w:jc w:val="right"/>
              <w:spacing w:after="0"/>
              <w:rPr>
                <w:sz w:val="20"/>
                <w:szCs w:val="20"/>
                <w:color w:val="auto"/>
              </w:rPr>
            </w:pPr>
            <w:r>
              <w:rPr>
                <w:rFonts w:ascii="Arial" w:cs="Arial" w:eastAsia="Arial" w:hAnsi="Arial"/>
                <w:sz w:val="16"/>
                <w:szCs w:val="16"/>
                <w:color w:val="3E474E"/>
              </w:rPr>
              <w:t>—</w:t>
            </w:r>
          </w:p>
        </w:tc>
      </w:tr>
      <w:tr>
        <w:trPr>
          <w:trHeight w:val="251"/>
        </w:trPr>
        <w:tc>
          <w:tcPr>
            <w:tcW w:w="658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Loss on extinguishment of debt</w:t>
            </w:r>
          </w:p>
        </w:tc>
        <w:tc>
          <w:tcPr>
            <w:tcW w:w="8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69</w:t>
            </w:r>
          </w:p>
        </w:tc>
        <w:tc>
          <w:tcPr>
            <w:tcW w:w="110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247</w:t>
            </w:r>
          </w:p>
        </w:tc>
        <w:tc>
          <w:tcPr>
            <w:tcW w:w="940" w:type="dxa"/>
            <w:vAlign w:val="bottom"/>
            <w:shd w:val="clear" w:color="auto" w:fill="E3EAEE"/>
          </w:tcPr>
          <w:p>
            <w:pPr>
              <w:jc w:val="right"/>
              <w:ind w:right="119"/>
              <w:spacing w:after="0"/>
              <w:rPr>
                <w:sz w:val="20"/>
                <w:szCs w:val="20"/>
                <w:color w:val="auto"/>
              </w:rPr>
            </w:pPr>
            <w:r>
              <w:rPr>
                <w:rFonts w:ascii="Arial" w:cs="Arial" w:eastAsia="Arial" w:hAnsi="Arial"/>
                <w:sz w:val="16"/>
                <w:szCs w:val="16"/>
                <w:color w:val="3E474E"/>
              </w:rPr>
              <w:t>—</w:t>
            </w:r>
          </w:p>
        </w:tc>
        <w:tc>
          <w:tcPr>
            <w:tcW w:w="94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3,374</w:t>
            </w:r>
          </w:p>
        </w:tc>
        <w:tc>
          <w:tcPr>
            <w:tcW w:w="8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3,810</w:t>
            </w:r>
          </w:p>
        </w:tc>
      </w:tr>
      <w:tr>
        <w:trPr>
          <w:trHeight w:val="235"/>
        </w:trPr>
        <w:tc>
          <w:tcPr>
            <w:tcW w:w="6580" w:type="dxa"/>
            <w:vAlign w:val="bottom"/>
          </w:tcPr>
          <w:p>
            <w:pPr>
              <w:ind w:left="140"/>
              <w:spacing w:after="0"/>
              <w:rPr>
                <w:sz w:val="20"/>
                <w:szCs w:val="20"/>
                <w:color w:val="auto"/>
              </w:rPr>
            </w:pPr>
            <w:r>
              <w:rPr>
                <w:rFonts w:ascii="Arial" w:cs="Arial" w:eastAsia="Arial" w:hAnsi="Arial"/>
                <w:sz w:val="16"/>
                <w:szCs w:val="16"/>
                <w:color w:val="3E474E"/>
              </w:rPr>
              <w:t>Unrealized credit loss (release) provision</w:t>
            </w:r>
          </w:p>
        </w:tc>
        <w:tc>
          <w:tcPr>
            <w:tcW w:w="860" w:type="dxa"/>
            <w:vAlign w:val="bottom"/>
          </w:tcPr>
          <w:p>
            <w:pPr>
              <w:jc w:val="right"/>
              <w:spacing w:after="0"/>
              <w:rPr>
                <w:sz w:val="20"/>
                <w:szCs w:val="20"/>
                <w:color w:val="auto"/>
              </w:rPr>
            </w:pPr>
            <w:r>
              <w:rPr>
                <w:rFonts w:ascii="Arial" w:cs="Arial" w:eastAsia="Arial" w:hAnsi="Arial"/>
                <w:sz w:val="16"/>
                <w:szCs w:val="16"/>
                <w:color w:val="3E474E"/>
              </w:rPr>
              <w:t>(437)</w:t>
            </w:r>
          </w:p>
        </w:tc>
        <w:tc>
          <w:tcPr>
            <w:tcW w:w="1100" w:type="dxa"/>
            <w:vAlign w:val="bottom"/>
          </w:tcPr>
          <w:p>
            <w:pPr>
              <w:jc w:val="right"/>
              <w:ind w:right="139"/>
              <w:spacing w:after="0"/>
              <w:rPr>
                <w:sz w:val="20"/>
                <w:szCs w:val="20"/>
                <w:color w:val="auto"/>
              </w:rPr>
            </w:pPr>
            <w:r>
              <w:rPr>
                <w:rFonts w:ascii="Arial" w:cs="Arial" w:eastAsia="Arial" w:hAnsi="Arial"/>
                <w:sz w:val="16"/>
                <w:szCs w:val="16"/>
                <w:color w:val="3E474E"/>
              </w:rPr>
              <w:t>156</w:t>
            </w:r>
          </w:p>
        </w:tc>
        <w:tc>
          <w:tcPr>
            <w:tcW w:w="940" w:type="dxa"/>
            <w:vAlign w:val="bottom"/>
          </w:tcPr>
          <w:p>
            <w:pPr>
              <w:jc w:val="right"/>
              <w:ind w:right="119"/>
              <w:spacing w:after="0"/>
              <w:rPr>
                <w:sz w:val="20"/>
                <w:szCs w:val="20"/>
                <w:color w:val="auto"/>
              </w:rPr>
            </w:pPr>
            <w:r>
              <w:rPr>
                <w:rFonts w:ascii="Arial" w:cs="Arial" w:eastAsia="Arial" w:hAnsi="Arial"/>
                <w:sz w:val="16"/>
                <w:szCs w:val="16"/>
                <w:color w:val="3E474E"/>
              </w:rPr>
              <w:t>574</w:t>
            </w:r>
          </w:p>
        </w:tc>
        <w:tc>
          <w:tcPr>
            <w:tcW w:w="940" w:type="dxa"/>
            <w:vAlign w:val="bottom"/>
          </w:tcPr>
          <w:p>
            <w:pPr>
              <w:jc w:val="right"/>
              <w:ind w:right="139"/>
              <w:spacing w:after="0"/>
              <w:rPr>
                <w:sz w:val="20"/>
                <w:szCs w:val="20"/>
                <w:color w:val="auto"/>
              </w:rPr>
            </w:pPr>
            <w:r>
              <w:rPr>
                <w:rFonts w:ascii="Arial" w:cs="Arial" w:eastAsia="Arial" w:hAnsi="Arial"/>
                <w:sz w:val="16"/>
                <w:szCs w:val="16"/>
                <w:color w:val="3E474E"/>
              </w:rPr>
              <w:t>626</w:t>
            </w:r>
          </w:p>
        </w:tc>
        <w:tc>
          <w:tcPr>
            <w:tcW w:w="800" w:type="dxa"/>
            <w:vAlign w:val="bottom"/>
          </w:tcPr>
          <w:p>
            <w:pPr>
              <w:jc w:val="right"/>
              <w:spacing w:after="0"/>
              <w:rPr>
                <w:sz w:val="20"/>
                <w:szCs w:val="20"/>
                <w:color w:val="auto"/>
              </w:rPr>
            </w:pPr>
            <w:r>
              <w:rPr>
                <w:rFonts w:ascii="Arial" w:cs="Arial" w:eastAsia="Arial" w:hAnsi="Arial"/>
                <w:sz w:val="16"/>
                <w:szCs w:val="16"/>
                <w:color w:val="3E474E"/>
              </w:rPr>
              <w:t>(792)</w:t>
            </w:r>
          </w:p>
        </w:tc>
      </w:tr>
      <w:tr>
        <w:trPr>
          <w:trHeight w:val="251"/>
        </w:trPr>
        <w:tc>
          <w:tcPr>
            <w:tcW w:w="658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Amortization of right-of-use assets - finance leases</w:t>
            </w:r>
          </w:p>
        </w:tc>
        <w:tc>
          <w:tcPr>
            <w:tcW w:w="8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1,580</w:t>
            </w:r>
          </w:p>
        </w:tc>
        <w:tc>
          <w:tcPr>
            <w:tcW w:w="110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1,578</w:t>
            </w:r>
          </w:p>
        </w:tc>
        <w:tc>
          <w:tcPr>
            <w:tcW w:w="940" w:type="dxa"/>
            <w:vAlign w:val="bottom"/>
            <w:shd w:val="clear" w:color="auto" w:fill="E3EAEE"/>
          </w:tcPr>
          <w:p>
            <w:pPr>
              <w:jc w:val="right"/>
              <w:ind w:right="119"/>
              <w:spacing w:after="0"/>
              <w:rPr>
                <w:sz w:val="20"/>
                <w:szCs w:val="20"/>
                <w:color w:val="auto"/>
              </w:rPr>
            </w:pPr>
            <w:r>
              <w:rPr>
                <w:rFonts w:ascii="Arial" w:cs="Arial" w:eastAsia="Arial" w:hAnsi="Arial"/>
                <w:sz w:val="16"/>
                <w:szCs w:val="16"/>
                <w:color w:val="3E474E"/>
              </w:rPr>
              <w:t>1,349</w:t>
            </w:r>
          </w:p>
        </w:tc>
        <w:tc>
          <w:tcPr>
            <w:tcW w:w="94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1,110</w:t>
            </w:r>
          </w:p>
        </w:tc>
        <w:tc>
          <w:tcPr>
            <w:tcW w:w="8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1,022</w:t>
            </w:r>
          </w:p>
        </w:tc>
      </w:tr>
      <w:tr>
        <w:trPr>
          <w:trHeight w:val="235"/>
        </w:trPr>
        <w:tc>
          <w:tcPr>
            <w:tcW w:w="6580" w:type="dxa"/>
            <w:vAlign w:val="bottom"/>
          </w:tcPr>
          <w:p>
            <w:pPr>
              <w:ind w:left="140"/>
              <w:spacing w:after="0"/>
              <w:rPr>
                <w:sz w:val="20"/>
                <w:szCs w:val="20"/>
                <w:color w:val="auto"/>
              </w:rPr>
            </w:pPr>
            <w:r>
              <w:rPr>
                <w:rFonts w:ascii="Arial" w:cs="Arial" w:eastAsia="Arial" w:hAnsi="Arial"/>
                <w:sz w:val="16"/>
                <w:szCs w:val="16"/>
                <w:color w:val="3E474E"/>
              </w:rPr>
              <w:t>Decrease (Increase) in fair value of derivatives not designated as cash flow hedges</w:t>
            </w:r>
          </w:p>
        </w:tc>
        <w:tc>
          <w:tcPr>
            <w:tcW w:w="860" w:type="dxa"/>
            <w:vAlign w:val="bottom"/>
          </w:tcPr>
          <w:p>
            <w:pPr>
              <w:jc w:val="right"/>
              <w:spacing w:after="0"/>
              <w:rPr>
                <w:sz w:val="20"/>
                <w:szCs w:val="20"/>
                <w:color w:val="auto"/>
              </w:rPr>
            </w:pPr>
            <w:r>
              <w:rPr>
                <w:rFonts w:ascii="Arial" w:cs="Arial" w:eastAsia="Arial" w:hAnsi="Arial"/>
                <w:sz w:val="16"/>
                <w:szCs w:val="16"/>
                <w:color w:val="3E474E"/>
              </w:rPr>
              <w:t>22,496</w:t>
            </w:r>
          </w:p>
        </w:tc>
        <w:tc>
          <w:tcPr>
            <w:tcW w:w="1100" w:type="dxa"/>
            <w:vAlign w:val="bottom"/>
          </w:tcPr>
          <w:p>
            <w:pPr>
              <w:jc w:val="right"/>
              <w:ind w:right="139"/>
              <w:spacing w:after="0"/>
              <w:rPr>
                <w:sz w:val="20"/>
                <w:szCs w:val="20"/>
                <w:color w:val="auto"/>
              </w:rPr>
            </w:pPr>
            <w:r>
              <w:rPr>
                <w:rFonts w:ascii="Arial" w:cs="Arial" w:eastAsia="Arial" w:hAnsi="Arial"/>
                <w:sz w:val="16"/>
                <w:szCs w:val="16"/>
                <w:color w:val="3E474E"/>
              </w:rPr>
              <w:t>9,612</w:t>
            </w:r>
          </w:p>
        </w:tc>
        <w:tc>
          <w:tcPr>
            <w:tcW w:w="940" w:type="dxa"/>
            <w:vAlign w:val="bottom"/>
          </w:tcPr>
          <w:p>
            <w:pPr>
              <w:jc w:val="right"/>
              <w:ind w:right="119"/>
              <w:spacing w:after="0"/>
              <w:rPr>
                <w:sz w:val="20"/>
                <w:szCs w:val="20"/>
                <w:color w:val="auto"/>
              </w:rPr>
            </w:pPr>
            <w:r>
              <w:rPr>
                <w:rFonts w:ascii="Arial" w:cs="Arial" w:eastAsia="Arial" w:hAnsi="Arial"/>
                <w:sz w:val="16"/>
                <w:szCs w:val="16"/>
                <w:color w:val="3E474E"/>
              </w:rPr>
              <w:t>14,185</w:t>
            </w:r>
          </w:p>
        </w:tc>
        <w:tc>
          <w:tcPr>
            <w:tcW w:w="940" w:type="dxa"/>
            <w:vAlign w:val="bottom"/>
          </w:tcPr>
          <w:p>
            <w:pPr>
              <w:jc w:val="right"/>
              <w:ind w:right="79"/>
              <w:spacing w:after="0"/>
              <w:rPr>
                <w:sz w:val="20"/>
                <w:szCs w:val="20"/>
                <w:color w:val="auto"/>
              </w:rPr>
            </w:pPr>
            <w:r>
              <w:rPr>
                <w:rFonts w:ascii="Arial" w:cs="Arial" w:eastAsia="Arial" w:hAnsi="Arial"/>
                <w:sz w:val="16"/>
                <w:szCs w:val="16"/>
                <w:color w:val="3E474E"/>
              </w:rPr>
              <w:t>(8,698)</w:t>
            </w:r>
          </w:p>
        </w:tc>
        <w:tc>
          <w:tcPr>
            <w:tcW w:w="800" w:type="dxa"/>
            <w:vAlign w:val="bottom"/>
          </w:tcPr>
          <w:p>
            <w:pPr>
              <w:jc w:val="right"/>
              <w:spacing w:after="0"/>
              <w:rPr>
                <w:sz w:val="20"/>
                <w:szCs w:val="20"/>
                <w:color w:val="auto"/>
              </w:rPr>
            </w:pPr>
            <w:r>
              <w:rPr>
                <w:rFonts w:ascii="Arial" w:cs="Arial" w:eastAsia="Arial" w:hAnsi="Arial"/>
                <w:sz w:val="16"/>
                <w:szCs w:val="16"/>
                <w:color w:val="3E474E"/>
              </w:rPr>
              <w:t>(2,182)</w:t>
            </w:r>
          </w:p>
        </w:tc>
      </w:tr>
      <w:tr>
        <w:trPr>
          <w:trHeight w:val="251"/>
        </w:trPr>
        <w:tc>
          <w:tcPr>
            <w:tcW w:w="658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Stock compensation normalization</w:t>
            </w:r>
          </w:p>
        </w:tc>
        <w:tc>
          <w:tcPr>
            <w:tcW w:w="8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3,299</w:t>
            </w:r>
          </w:p>
        </w:tc>
        <w:tc>
          <w:tcPr>
            <w:tcW w:w="110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w:t>
            </w:r>
          </w:p>
        </w:tc>
        <w:tc>
          <w:tcPr>
            <w:tcW w:w="940" w:type="dxa"/>
            <w:vAlign w:val="bottom"/>
            <w:shd w:val="clear" w:color="auto" w:fill="E3EAEE"/>
          </w:tcPr>
          <w:p>
            <w:pPr>
              <w:jc w:val="right"/>
              <w:ind w:right="119"/>
              <w:spacing w:after="0"/>
              <w:rPr>
                <w:sz w:val="20"/>
                <w:szCs w:val="20"/>
                <w:color w:val="auto"/>
              </w:rPr>
            </w:pPr>
            <w:r>
              <w:rPr>
                <w:rFonts w:ascii="Arial" w:cs="Arial" w:eastAsia="Arial" w:hAnsi="Arial"/>
                <w:sz w:val="16"/>
                <w:szCs w:val="16"/>
                <w:color w:val="3E474E"/>
              </w:rPr>
              <w:t>—</w:t>
            </w:r>
          </w:p>
        </w:tc>
        <w:tc>
          <w:tcPr>
            <w:tcW w:w="94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w:t>
            </w:r>
          </w:p>
        </w:tc>
        <w:tc>
          <w:tcPr>
            <w:tcW w:w="80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w:t>
            </w:r>
          </w:p>
        </w:tc>
      </w:tr>
      <w:tr>
        <w:trPr>
          <w:trHeight w:val="235"/>
        </w:trPr>
        <w:tc>
          <w:tcPr>
            <w:tcW w:w="6580" w:type="dxa"/>
            <w:vAlign w:val="bottom"/>
          </w:tcPr>
          <w:p>
            <w:pPr>
              <w:ind w:left="140"/>
              <w:spacing w:after="0"/>
              <w:rPr>
                <w:sz w:val="20"/>
                <w:szCs w:val="20"/>
                <w:color w:val="auto"/>
              </w:rPr>
            </w:pPr>
            <w:r>
              <w:rPr>
                <w:rFonts w:ascii="Arial" w:cs="Arial" w:eastAsia="Arial" w:hAnsi="Arial"/>
                <w:sz w:val="16"/>
                <w:szCs w:val="16"/>
                <w:color w:val="3E474E"/>
              </w:rPr>
              <w:t>Amortization of interest rate derivative premiums on designated cash flow hedges</w:t>
            </w:r>
          </w:p>
        </w:tc>
        <w:tc>
          <w:tcPr>
            <w:tcW w:w="860" w:type="dxa"/>
            <w:vAlign w:val="bottom"/>
          </w:tcPr>
          <w:p>
            <w:pPr>
              <w:jc w:val="right"/>
              <w:spacing w:after="0"/>
              <w:rPr>
                <w:sz w:val="20"/>
                <w:szCs w:val="20"/>
                <w:color w:val="auto"/>
              </w:rPr>
            </w:pPr>
            <w:r>
              <w:rPr>
                <w:rFonts w:ascii="Arial" w:cs="Arial" w:eastAsia="Arial" w:hAnsi="Arial"/>
                <w:sz w:val="16"/>
                <w:szCs w:val="16"/>
                <w:color w:val="3E474E"/>
              </w:rPr>
              <w:t>1,530</w:t>
            </w:r>
          </w:p>
        </w:tc>
        <w:tc>
          <w:tcPr>
            <w:tcW w:w="1100" w:type="dxa"/>
            <w:vAlign w:val="bottom"/>
          </w:tcPr>
          <w:p>
            <w:pPr>
              <w:jc w:val="right"/>
              <w:ind w:right="139"/>
              <w:spacing w:after="0"/>
              <w:rPr>
                <w:sz w:val="20"/>
                <w:szCs w:val="20"/>
                <w:color w:val="auto"/>
              </w:rPr>
            </w:pPr>
            <w:r>
              <w:rPr>
                <w:rFonts w:ascii="Arial" w:cs="Arial" w:eastAsia="Arial" w:hAnsi="Arial"/>
                <w:sz w:val="16"/>
                <w:szCs w:val="16"/>
                <w:color w:val="3E474E"/>
              </w:rPr>
              <w:t>422</w:t>
            </w:r>
          </w:p>
        </w:tc>
        <w:tc>
          <w:tcPr>
            <w:tcW w:w="940" w:type="dxa"/>
            <w:vAlign w:val="bottom"/>
          </w:tcPr>
          <w:p>
            <w:pPr>
              <w:jc w:val="right"/>
              <w:ind w:right="119"/>
              <w:spacing w:after="0"/>
              <w:rPr>
                <w:sz w:val="20"/>
                <w:szCs w:val="20"/>
                <w:color w:val="auto"/>
              </w:rPr>
            </w:pPr>
            <w:r>
              <w:rPr>
                <w:rFonts w:ascii="Arial" w:cs="Arial" w:eastAsia="Arial" w:hAnsi="Arial"/>
                <w:sz w:val="16"/>
                <w:szCs w:val="16"/>
                <w:color w:val="3E474E"/>
              </w:rPr>
              <w:t>4,210</w:t>
            </w:r>
          </w:p>
        </w:tc>
        <w:tc>
          <w:tcPr>
            <w:tcW w:w="940" w:type="dxa"/>
            <w:vAlign w:val="bottom"/>
          </w:tcPr>
          <w:p>
            <w:pPr>
              <w:jc w:val="right"/>
              <w:ind w:right="139"/>
              <w:spacing w:after="0"/>
              <w:rPr>
                <w:sz w:val="20"/>
                <w:szCs w:val="20"/>
                <w:color w:val="auto"/>
              </w:rPr>
            </w:pPr>
            <w:r>
              <w:rPr>
                <w:rFonts w:ascii="Arial" w:cs="Arial" w:eastAsia="Arial" w:hAnsi="Arial"/>
                <w:sz w:val="16"/>
                <w:szCs w:val="16"/>
                <w:color w:val="3E474E"/>
              </w:rPr>
              <w:t>3,849</w:t>
            </w:r>
          </w:p>
        </w:tc>
        <w:tc>
          <w:tcPr>
            <w:tcW w:w="800" w:type="dxa"/>
            <w:vAlign w:val="bottom"/>
          </w:tcPr>
          <w:p>
            <w:pPr>
              <w:jc w:val="right"/>
              <w:spacing w:after="0"/>
              <w:rPr>
                <w:sz w:val="20"/>
                <w:szCs w:val="20"/>
                <w:color w:val="auto"/>
              </w:rPr>
            </w:pPr>
            <w:r>
              <w:rPr>
                <w:rFonts w:ascii="Arial" w:cs="Arial" w:eastAsia="Arial" w:hAnsi="Arial"/>
                <w:sz w:val="16"/>
                <w:szCs w:val="16"/>
                <w:color w:val="3E474E"/>
              </w:rPr>
              <w:t>235</w:t>
            </w:r>
          </w:p>
        </w:tc>
      </w:tr>
      <w:tr>
        <w:trPr>
          <w:trHeight w:val="251"/>
        </w:trPr>
        <w:tc>
          <w:tcPr>
            <w:tcW w:w="6580" w:type="dxa"/>
            <w:vAlign w:val="bottom"/>
            <w:shd w:val="clear" w:color="auto" w:fill="E3EAEE"/>
          </w:tcPr>
          <w:p>
            <w:pPr>
              <w:ind w:left="140"/>
              <w:spacing w:after="0"/>
              <w:rPr>
                <w:sz w:val="20"/>
                <w:szCs w:val="20"/>
                <w:color w:val="auto"/>
              </w:rPr>
            </w:pPr>
            <w:r>
              <w:rPr>
                <w:rFonts w:ascii="Arial" w:cs="Arial" w:eastAsia="Arial" w:hAnsi="Arial"/>
                <w:sz w:val="16"/>
                <w:szCs w:val="16"/>
                <w:color w:val="3E474E"/>
              </w:rPr>
              <w:t>Severance Related Costs</w:t>
            </w:r>
          </w:p>
        </w:tc>
        <w:tc>
          <w:tcPr>
            <w:tcW w:w="860" w:type="dxa"/>
            <w:vAlign w:val="bottom"/>
            <w:shd w:val="clear" w:color="auto" w:fill="E3EAEE"/>
          </w:tcPr>
          <w:p>
            <w:pPr>
              <w:jc w:val="right"/>
              <w:spacing w:after="0"/>
              <w:rPr>
                <w:sz w:val="20"/>
                <w:szCs w:val="20"/>
                <w:color w:val="auto"/>
              </w:rPr>
            </w:pPr>
            <w:r>
              <w:rPr>
                <w:rFonts w:ascii="Arial" w:cs="Arial" w:eastAsia="Arial" w:hAnsi="Arial"/>
                <w:sz w:val="16"/>
                <w:szCs w:val="16"/>
                <w:color w:val="3E474E"/>
              </w:rPr>
              <w:t>1,801</w:t>
            </w:r>
          </w:p>
        </w:tc>
        <w:tc>
          <w:tcPr>
            <w:tcW w:w="1100" w:type="dxa"/>
            <w:vAlign w:val="bottom"/>
            <w:shd w:val="clear" w:color="auto" w:fill="E3EAEE"/>
          </w:tcPr>
          <w:p>
            <w:pPr>
              <w:jc w:val="right"/>
              <w:ind w:right="79"/>
              <w:spacing w:after="0"/>
              <w:rPr>
                <w:sz w:val="20"/>
                <w:szCs w:val="20"/>
                <w:color w:val="auto"/>
              </w:rPr>
            </w:pPr>
            <w:r>
              <w:rPr>
                <w:rFonts w:ascii="Arial" w:cs="Arial" w:eastAsia="Arial" w:hAnsi="Arial"/>
                <w:sz w:val="16"/>
                <w:szCs w:val="16"/>
                <w:color w:val="3E474E"/>
              </w:rPr>
              <w:t>1,506</w:t>
            </w:r>
          </w:p>
        </w:tc>
        <w:tc>
          <w:tcPr>
            <w:tcW w:w="940" w:type="dxa"/>
            <w:vAlign w:val="bottom"/>
            <w:shd w:val="clear" w:color="auto" w:fill="E3EAEE"/>
          </w:tcPr>
          <w:p>
            <w:pPr>
              <w:jc w:val="right"/>
              <w:ind w:right="119"/>
              <w:spacing w:after="0"/>
              <w:rPr>
                <w:sz w:val="20"/>
                <w:szCs w:val="20"/>
                <w:color w:val="auto"/>
              </w:rPr>
            </w:pPr>
            <w:r>
              <w:rPr>
                <w:rFonts w:ascii="Arial" w:cs="Arial" w:eastAsia="Arial" w:hAnsi="Arial"/>
                <w:sz w:val="16"/>
                <w:szCs w:val="16"/>
                <w:color w:val="3E474E"/>
              </w:rPr>
              <w:t>—</w:t>
            </w:r>
          </w:p>
        </w:tc>
        <w:tc>
          <w:tcPr>
            <w:tcW w:w="940" w:type="dxa"/>
            <w:vAlign w:val="bottom"/>
            <w:shd w:val="clear" w:color="auto" w:fill="E3EAEE"/>
          </w:tcPr>
          <w:p>
            <w:pPr>
              <w:jc w:val="right"/>
              <w:ind w:right="139"/>
              <w:spacing w:after="0"/>
              <w:rPr>
                <w:sz w:val="20"/>
                <w:szCs w:val="20"/>
                <w:color w:val="auto"/>
              </w:rPr>
            </w:pPr>
            <w:r>
              <w:rPr>
                <w:rFonts w:ascii="Arial" w:cs="Arial" w:eastAsia="Arial" w:hAnsi="Arial"/>
                <w:sz w:val="16"/>
                <w:szCs w:val="16"/>
                <w:color w:val="3E474E"/>
              </w:rPr>
              <w:t>—</w:t>
            </w:r>
          </w:p>
        </w:tc>
        <w:tc>
          <w:tcPr>
            <w:tcW w:w="800" w:type="dxa"/>
            <w:vAlign w:val="bottom"/>
            <w:shd w:val="clear" w:color="auto" w:fill="E3EAEE"/>
          </w:tcPr>
          <w:p>
            <w:pPr>
              <w:spacing w:after="0"/>
              <w:rPr>
                <w:sz w:val="21"/>
                <w:szCs w:val="21"/>
                <w:color w:val="auto"/>
              </w:rPr>
            </w:pPr>
          </w:p>
        </w:tc>
      </w:tr>
      <w:tr>
        <w:trPr>
          <w:trHeight w:val="263"/>
        </w:trPr>
        <w:tc>
          <w:tcPr>
            <w:tcW w:w="6580" w:type="dxa"/>
            <w:vAlign w:val="bottom"/>
          </w:tcPr>
          <w:p>
            <w:pPr>
              <w:ind w:left="20"/>
              <w:spacing w:after="0"/>
              <w:rPr>
                <w:sz w:val="20"/>
                <w:szCs w:val="20"/>
                <w:color w:val="auto"/>
              </w:rPr>
            </w:pPr>
            <w:r>
              <w:rPr>
                <w:rFonts w:ascii="Arial" w:cs="Arial" w:eastAsia="Arial" w:hAnsi="Arial"/>
                <w:sz w:val="16"/>
                <w:szCs w:val="16"/>
                <w:b w:val="1"/>
                <w:bCs w:val="1"/>
                <w:color w:val="3E474E"/>
              </w:rPr>
              <w:t>Normalized FFO available to common stockholders and OP Unit holders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3E474E"/>
              </w:rPr>
              <w:t>110,413</w:t>
            </w: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3E474E"/>
              </w:rPr>
              <w:t>118,893</w:t>
            </w: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3E474E"/>
              </w:rPr>
              <w:t>110,467</w:t>
            </w: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3E474E"/>
              </w:rPr>
              <w:t>107,158</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3E474E"/>
              </w:rPr>
              <w:t>87,555</w:t>
            </w:r>
          </w:p>
        </w:tc>
      </w:tr>
      <w:tr>
        <w:trPr>
          <w:trHeight w:val="35"/>
        </w:trPr>
        <w:tc>
          <w:tcPr>
            <w:tcW w:w="6580" w:type="dxa"/>
            <w:vAlign w:val="bottom"/>
            <w:tcBorders>
              <w:bottom w:val="single" w:sz="8" w:color="1478A3"/>
            </w:tcBorders>
          </w:tcPr>
          <w:p>
            <w:pPr>
              <w:spacing w:after="0"/>
              <w:rPr>
                <w:sz w:val="3"/>
                <w:szCs w:val="3"/>
                <w:color w:val="auto"/>
              </w:rPr>
            </w:pPr>
          </w:p>
        </w:tc>
        <w:tc>
          <w:tcPr>
            <w:tcW w:w="860" w:type="dxa"/>
            <w:vAlign w:val="bottom"/>
            <w:tcBorders>
              <w:bottom w:val="single" w:sz="8" w:color="1478A3"/>
            </w:tcBorders>
          </w:tcPr>
          <w:p>
            <w:pPr>
              <w:spacing w:after="0"/>
              <w:rPr>
                <w:sz w:val="3"/>
                <w:szCs w:val="3"/>
                <w:color w:val="auto"/>
              </w:rPr>
            </w:pPr>
          </w:p>
        </w:tc>
        <w:tc>
          <w:tcPr>
            <w:tcW w:w="1100" w:type="dxa"/>
            <w:vAlign w:val="bottom"/>
            <w:tcBorders>
              <w:bottom w:val="single" w:sz="8" w:color="1478A3"/>
            </w:tcBorders>
          </w:tcPr>
          <w:p>
            <w:pPr>
              <w:spacing w:after="0"/>
              <w:rPr>
                <w:sz w:val="3"/>
                <w:szCs w:val="3"/>
                <w:color w:val="auto"/>
              </w:rPr>
            </w:pPr>
          </w:p>
        </w:tc>
        <w:tc>
          <w:tcPr>
            <w:tcW w:w="940" w:type="dxa"/>
            <w:vAlign w:val="bottom"/>
            <w:tcBorders>
              <w:bottom w:val="single" w:sz="8" w:color="1478A3"/>
            </w:tcBorders>
          </w:tcPr>
          <w:p>
            <w:pPr>
              <w:spacing w:after="0"/>
              <w:rPr>
                <w:sz w:val="3"/>
                <w:szCs w:val="3"/>
                <w:color w:val="auto"/>
              </w:rPr>
            </w:pPr>
          </w:p>
        </w:tc>
        <w:tc>
          <w:tcPr>
            <w:tcW w:w="940" w:type="dxa"/>
            <w:vAlign w:val="bottom"/>
            <w:tcBorders>
              <w:bottom w:val="single" w:sz="8" w:color="1478A3"/>
            </w:tcBorders>
          </w:tcPr>
          <w:p>
            <w:pPr>
              <w:spacing w:after="0"/>
              <w:rPr>
                <w:sz w:val="3"/>
                <w:szCs w:val="3"/>
                <w:color w:val="auto"/>
              </w:rPr>
            </w:pPr>
          </w:p>
        </w:tc>
        <w:tc>
          <w:tcPr>
            <w:tcW w:w="800" w:type="dxa"/>
            <w:vAlign w:val="bottom"/>
            <w:tcBorders>
              <w:bottom w:val="single" w:sz="8" w:color="1478A3"/>
            </w:tcBorders>
          </w:tcPr>
          <w:p>
            <w:pPr>
              <w:spacing w:after="0"/>
              <w:rPr>
                <w:sz w:val="3"/>
                <w:szCs w:val="3"/>
                <w:color w:val="auto"/>
              </w:rPr>
            </w:pPr>
          </w:p>
        </w:tc>
      </w:tr>
    </w:tbl>
    <w:p>
      <w:pPr>
        <w:spacing w:after="0" w:line="104" w:lineRule="exact"/>
        <w:rPr>
          <w:sz w:val="20"/>
          <w:szCs w:val="20"/>
          <w:color w:val="auto"/>
        </w:rPr>
      </w:pPr>
    </w:p>
    <w:p>
      <w:pPr>
        <w:ind w:left="180" w:right="300" w:hanging="154"/>
        <w:spacing w:after="0" w:line="286" w:lineRule="auto"/>
        <w:tabs>
          <w:tab w:leader="none" w:pos="207" w:val="left"/>
        </w:tabs>
        <w:numPr>
          <w:ilvl w:val="0"/>
          <w:numId w:val="97"/>
        </w:numPr>
        <w:rPr>
          <w:rFonts w:ascii="Arial" w:cs="Arial" w:eastAsia="Arial" w:hAnsi="Arial"/>
          <w:sz w:val="13"/>
          <w:szCs w:val="13"/>
          <w:color w:val="3E474E"/>
        </w:rPr>
      </w:pPr>
      <w:r>
        <w:rPr>
          <w:rFonts w:ascii="Arial" w:cs="Arial" w:eastAsia="Arial" w:hAnsi="Arial"/>
          <w:sz w:val="13"/>
          <w:szCs w:val="13"/>
          <w:color w:val="3E474E"/>
        </w:rPr>
        <w:t>The adjustment for depreciation and amortization for the years ended December 31, 2025, 2024, 2023, and 2022 excludes $1.0 million, $0.9 million, $0.9 million, and $1.0 million respectively, of depreciation attributable to our partners.</w:t>
      </w:r>
    </w:p>
    <w:p>
      <w:pPr>
        <w:spacing w:after="0" w:line="48" w:lineRule="exact"/>
        <w:rPr>
          <w:rFonts w:ascii="Arial" w:cs="Arial" w:eastAsia="Arial" w:hAnsi="Arial"/>
          <w:sz w:val="13"/>
          <w:szCs w:val="13"/>
          <w:color w:val="3E474E"/>
        </w:rPr>
      </w:pPr>
    </w:p>
    <w:p>
      <w:pPr>
        <w:ind w:left="360" w:right="180" w:hanging="172"/>
        <w:spacing w:after="0" w:line="254" w:lineRule="auto"/>
        <w:tabs>
          <w:tab w:leader="none" w:pos="387" w:val="left"/>
        </w:tabs>
        <w:numPr>
          <w:ilvl w:val="1"/>
          <w:numId w:val="97"/>
        </w:numPr>
        <w:rPr>
          <w:rFonts w:ascii="Arial" w:cs="Arial" w:eastAsia="Arial" w:hAnsi="Arial"/>
          <w:sz w:val="13"/>
          <w:szCs w:val="13"/>
          <w:color w:val="3E474E"/>
        </w:rPr>
      </w:pPr>
      <w:r>
        <w:rPr>
          <w:rFonts w:ascii="Arial" w:cs="Arial" w:eastAsia="Arial" w:hAnsi="Arial"/>
          <w:sz w:val="13"/>
          <w:szCs w:val="13"/>
          <w:color w:val="3E474E"/>
        </w:rPr>
        <w:t>The adjustment for gain on operating real estate dispositions for the year ended December 31, 2023 excludes $0.7 million for gains on the dispositions of non-operating parcels at Market at Mill Creek and adjacent to Brooks Crossing Retail. The adjustment for gain on real estate dispositions for the year ended December 31, 2022 excludes $5.4 million of the gain on the sale of The Residences at Annapolis Junction that was allocated to our joint venture partner. Additionally, the adjustment for gain on real estate dispositions for the year ended December 31, 2021 excludes the gain on sale of easement rights on a non-operating parcel and the loss on sale of a non-operating parcel.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right w:val="single" w:sz="8" w:color="00764D"/>
            </w:tcBorders>
          </w:tcPr>
          <w:p>
            <w:pPr>
              <w:ind w:left="3120"/>
              <w:spacing w:after="0"/>
              <w:rPr>
                <w:sz w:val="20"/>
                <w:szCs w:val="20"/>
                <w:color w:val="auto"/>
              </w:rPr>
            </w:pPr>
            <w:r>
              <w:rPr>
                <w:rFonts w:ascii="Arial" w:cs="Arial" w:eastAsia="Arial" w:hAnsi="Arial"/>
                <w:sz w:val="14"/>
                <w:szCs w:val="14"/>
                <w:color w:val="747C83"/>
              </w:rPr>
              <w:t>AH Realty Trust, Inc.</w:t>
            </w:r>
          </w:p>
        </w:tc>
        <w:tc>
          <w:tcPr>
            <w:tcW w:w="820" w:type="dxa"/>
            <w:vAlign w:val="bottom"/>
            <w:tcBorders>
              <w:right w:val="single" w:sz="8" w:color="00764D"/>
            </w:tcBorders>
          </w:tcPr>
          <w:p>
            <w:pPr>
              <w:ind w:left="300"/>
              <w:spacing w:after="0"/>
              <w:rPr>
                <w:sz w:val="20"/>
                <w:szCs w:val="20"/>
                <w:color w:val="auto"/>
              </w:rPr>
            </w:pPr>
            <w:r>
              <w:rPr>
                <w:rFonts w:ascii="Arial" w:cs="Arial" w:eastAsia="Arial" w:hAnsi="Arial"/>
                <w:sz w:val="14"/>
                <w:szCs w:val="14"/>
                <w:color w:val="747C83"/>
              </w:rPr>
              <w:t>A-2</w:t>
            </w:r>
          </w:p>
        </w:tc>
        <w:tc>
          <w:tcPr>
            <w:tcW w:w="5320" w:type="dxa"/>
            <w:vAlign w:val="bottom"/>
          </w:tcPr>
          <w:p>
            <w:pPr>
              <w:ind w:left="620"/>
              <w:spacing w:after="0"/>
              <w:rPr>
                <w:sz w:val="20"/>
                <w:szCs w:val="20"/>
                <w:color w:val="auto"/>
              </w:rPr>
            </w:pPr>
            <w:r>
              <w:rPr>
                <w:rFonts w:ascii="Arial" w:cs="Arial" w:eastAsia="Arial" w:hAnsi="Arial"/>
                <w:sz w:val="14"/>
                <w:szCs w:val="14"/>
                <w:color w:val="747C83"/>
              </w:rPr>
              <w:t>Proxy Statement 2026</w:t>
            </w:r>
          </w:p>
        </w:tc>
      </w:tr>
      <w:tr>
        <w:trPr>
          <w:trHeight w:val="210"/>
        </w:trPr>
        <w:tc>
          <w:tcPr>
            <w:tcW w:w="5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106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106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243205</wp:posOffset>
            </wp:positionV>
            <wp:extent cx="6978015" cy="905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6978015"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x"/>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bullet"/>
      <w:start w:val="1"/>
    </w:lvl>
  </w:abstractNum>
  <w:abstractNum w:abstractNumId="5">
    <w:nsid w:val="79A1DEAA"/>
    <w:multiLevelType w:val="hybridMultilevel"/>
    <w:lvl w:ilvl="0">
      <w:lvlJc w:val="left"/>
      <w:lvlText w:val="2"/>
      <w:numFmt w:val="bullet"/>
      <w:start w:val="1"/>
    </w:lvl>
  </w:abstractNum>
  <w:abstractNum w:abstractNumId="6">
    <w:nsid w:val="75C6C33A"/>
    <w:multiLevelType w:val="hybridMultilevel"/>
    <w:lvl w:ilvl="0">
      <w:lvlJc w:val="left"/>
      <w:lvlText w:val="3"/>
      <w:numFmt w:val="bullet"/>
      <w:start w:val="1"/>
    </w:lvl>
  </w:abstractNum>
  <w:abstractNum w:abstractNumId="7">
    <w:nsid w:val="12E685FB"/>
    <w:multiLevelType w:val="hybridMultilevel"/>
    <w:lvl w:ilvl="0">
      <w:lvlJc w:val="left"/>
      <w:lvlText w:val="4"/>
      <w:numFmt w:val="bullet"/>
      <w:start w:val="1"/>
    </w:lvl>
  </w:abstractNum>
  <w:abstractNum w:abstractNumId="8">
    <w:nsid w:val="70C6A529"/>
    <w:multiLevelType w:val="hybridMultilevel"/>
    <w:lvl w:ilvl="0">
      <w:lvlJc w:val="left"/>
      <w:lvlText w:val="1"/>
      <w:numFmt w:val="bullet"/>
      <w:start w:val="1"/>
    </w:lvl>
  </w:abstractNum>
  <w:abstractNum w:abstractNumId="9">
    <w:nsid w:val="520EEDD1"/>
    <w:multiLevelType w:val="hybridMultilevel"/>
    <w:lvl w:ilvl="0">
      <w:lvlJc w:val="left"/>
      <w:lvlText w:val="5"/>
      <w:numFmt w:val="bullet"/>
      <w:start w:val="1"/>
    </w:lvl>
  </w:abstractNum>
  <w:abstractNum w:abstractNumId="10">
    <w:nsid w:val="374A3FE6"/>
    <w:multiLevelType w:val="hybridMultilevel"/>
    <w:lvl w:ilvl="0">
      <w:lvlJc w:val="left"/>
      <w:lvlText w:val="9"/>
      <w:numFmt w:val="bullet"/>
      <w:start w:val="1"/>
    </w:lvl>
  </w:abstractNum>
  <w:abstractNum w:abstractNumId="11">
    <w:nsid w:val="4F4EF005"/>
    <w:multiLevelType w:val="hybridMultilevel"/>
    <w:lvl w:ilvl="0">
      <w:lvlJc w:val="left"/>
      <w:lvlText w:val="%1"/>
      <w:numFmt w:val="decimal"/>
      <w:start w:val="20"/>
    </w:lvl>
  </w:abstractNum>
  <w:abstractNum w:abstractNumId="12">
    <w:nsid w:val="23F9C13C"/>
    <w:multiLevelType w:val="hybridMultilevel"/>
    <w:lvl w:ilvl="0">
      <w:lvlJc w:val="left"/>
      <w:lvlText w:val="%1"/>
      <w:numFmt w:val="decimal"/>
      <w:start w:val="21"/>
    </w:lvl>
  </w:abstractNum>
  <w:abstractNum w:abstractNumId="13">
    <w:nsid w:val="649BB77C"/>
    <w:multiLevelType w:val="hybridMultilevel"/>
    <w:lvl w:ilvl="0">
      <w:lvlJc w:val="left"/>
      <w:lvlText w:val="%1"/>
      <w:numFmt w:val="decimal"/>
      <w:start w:val="21"/>
    </w:lvl>
  </w:abstractNum>
  <w:abstractNum w:abstractNumId="14">
    <w:nsid w:val="275AC794"/>
    <w:multiLevelType w:val="hybridMultilevel"/>
    <w:lvl w:ilvl="0">
      <w:lvlJc w:val="left"/>
      <w:lvlText w:val="%1"/>
      <w:numFmt w:val="decimal"/>
      <w:start w:val="21"/>
    </w:lvl>
  </w:abstractNum>
  <w:abstractNum w:abstractNumId="15">
    <w:nsid w:val="39386575"/>
    <w:multiLevelType w:val="hybridMultilevel"/>
    <w:lvl w:ilvl="0">
      <w:lvlJc w:val="left"/>
      <w:lvlText w:val="%1"/>
      <w:numFmt w:val="decimal"/>
      <w:start w:val="22"/>
    </w:lvl>
  </w:abstractNum>
  <w:abstractNum w:abstractNumId="16">
    <w:nsid w:val="1CF10FD8"/>
    <w:multiLevelType w:val="hybridMultilevel"/>
    <w:lvl w:ilvl="0">
      <w:lvlJc w:val="left"/>
      <w:lvlText w:val="%1"/>
      <w:numFmt w:val="decimal"/>
      <w:start w:val="22"/>
    </w:lvl>
  </w:abstractNum>
  <w:abstractNum w:abstractNumId="17">
    <w:nsid w:val="180115BE"/>
    <w:multiLevelType w:val="hybridMultilevel"/>
    <w:lvl w:ilvl="0">
      <w:lvlJc w:val="left"/>
      <w:lvlText w:val="%1"/>
      <w:numFmt w:val="decimal"/>
      <w:start w:val="22"/>
    </w:lvl>
  </w:abstractNum>
  <w:abstractNum w:abstractNumId="18">
    <w:nsid w:val="235BA861"/>
    <w:multiLevelType w:val="hybridMultilevel"/>
    <w:lvl w:ilvl="0">
      <w:lvlJc w:val="left"/>
      <w:lvlText w:val="%1"/>
      <w:numFmt w:val="decimal"/>
      <w:start w:val="22"/>
    </w:lvl>
  </w:abstractNum>
  <w:abstractNum w:abstractNumId="19">
    <w:nsid w:val="47398C89"/>
    <w:multiLevelType w:val="hybridMultilevel"/>
    <w:lvl w:ilvl="0">
      <w:lvlJc w:val="left"/>
      <w:lvlText w:val="%1"/>
      <w:numFmt w:val="decimal"/>
      <w:start w:val="24"/>
    </w:lvl>
  </w:abstractNum>
  <w:abstractNum w:abstractNumId="20">
    <w:nsid w:val="354FE9F9"/>
    <w:multiLevelType w:val="hybridMultilevel"/>
    <w:lvl w:ilvl="0">
      <w:lvlJc w:val="left"/>
      <w:lvlText w:val="%1"/>
      <w:numFmt w:val="decimal"/>
      <w:start w:val="24"/>
    </w:lvl>
  </w:abstractNum>
  <w:abstractNum w:abstractNumId="21">
    <w:nsid w:val="15B5AF5C"/>
    <w:multiLevelType w:val="hybridMultilevel"/>
    <w:lvl w:ilvl="0">
      <w:lvlJc w:val="left"/>
      <w:lvlText w:val="%1"/>
      <w:numFmt w:val="decimal"/>
      <w:start w:val="27"/>
    </w:lvl>
  </w:abstractNum>
  <w:abstractNum w:abstractNumId="22">
    <w:nsid w:val="741226BB"/>
    <w:multiLevelType w:val="hybridMultilevel"/>
    <w:lvl w:ilvl="0">
      <w:lvlJc w:val="left"/>
      <w:lvlText w:val="%1"/>
      <w:numFmt w:val="decimal"/>
      <w:start w:val="27"/>
    </w:lvl>
  </w:abstractNum>
  <w:abstractNum w:abstractNumId="23">
    <w:nsid w:val="D34B6A8"/>
    <w:multiLevelType w:val="hybridMultilevel"/>
    <w:lvl w:ilvl="0">
      <w:lvlJc w:val="left"/>
      <w:lvlText w:val="%1"/>
      <w:numFmt w:val="decimal"/>
      <w:start w:val="27"/>
    </w:lvl>
  </w:abstractNum>
  <w:abstractNum w:abstractNumId="24">
    <w:nsid w:val="10233C99"/>
    <w:multiLevelType w:val="hybridMultilevel"/>
    <w:lvl w:ilvl="0">
      <w:lvlJc w:val="left"/>
      <w:lvlText w:val="%1"/>
      <w:numFmt w:val="decimal"/>
      <w:start w:val="27"/>
    </w:lvl>
  </w:abstractNum>
  <w:abstractNum w:abstractNumId="25">
    <w:nsid w:val="3F6AB60F"/>
    <w:multiLevelType w:val="hybridMultilevel"/>
    <w:lvl w:ilvl="0">
      <w:lvlJc w:val="left"/>
      <w:lvlText w:val="%1"/>
      <w:numFmt w:val="decimal"/>
      <w:start w:val="27"/>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lvl w:ilvl="1">
      <w:lvlJc w:val="left"/>
      <w:lvlText w:val="◦"/>
      <w:numFmt w:val="bullet"/>
      <w:start w:val="1"/>
    </w:lvl>
  </w:abstractNum>
  <w:abstractNum w:abstractNumId="62">
    <w:nsid w:val="68EB2F63"/>
    <w:multiLevelType w:val="hybridMultilevel"/>
    <w:lvl w:ilvl="0">
      <w:lvlJc w:val="left"/>
      <w:lvlText w:val="•"/>
      <w:numFmt w:val="bullet"/>
      <w:start w:val="1"/>
    </w:lvl>
    <w:lvl w:ilvl="1">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1)"/>
      <w:numFmt w:val="decimal"/>
      <w:start w:val="2"/>
    </w:lvl>
  </w:abstractNum>
  <w:abstractNum w:abstractNumId="69">
    <w:nsid w:val="71EA1109"/>
    <w:multiLevelType w:val="hybridMultilevel"/>
    <w:lvl w:ilvl="0">
      <w:lvlJc w:val="left"/>
      <w:lvlText w:val="(%1)"/>
      <w:numFmt w:val="decimal"/>
      <w:start w:val="1"/>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4"/>
    </w:lvl>
  </w:abstractNum>
  <w:abstractNum w:abstractNumId="80">
    <w:nsid w:val="3222E7CD"/>
    <w:multiLevelType w:val="hybridMultilevel"/>
    <w:lvl w:ilvl="0">
      <w:lvlJc w:val="left"/>
      <w:lvlText w:val="(%1)"/>
      <w:numFmt w:val="decimal"/>
      <w:start w:val="1"/>
    </w:lvl>
  </w:abstractNum>
  <w:abstractNum w:abstractNumId="81">
    <w:nsid w:val="74DE0EE3"/>
    <w:multiLevelType w:val="hybridMultilevel"/>
    <w:lvl w:ilvl="0">
      <w:lvlJc w:val="left"/>
      <w:lvlText w:val="(%1)"/>
      <w:numFmt w:val="decimal"/>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1)"/>
      <w:numFmt w:val="decimal"/>
      <w:start w:val="1"/>
    </w:lvl>
  </w:abstractNum>
  <w:abstractNum w:abstractNumId="86">
    <w:nsid w:val="39EE015C"/>
    <w:multiLevelType w:val="hybridMultilevel"/>
    <w:lvl w:ilvl="0">
      <w:lvlJc w:val="left"/>
      <w:lvlText w:val="(%1)"/>
      <w:numFmt w:val="decimal"/>
      <w:start w:val="2"/>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1)"/>
      <w:numFmt w:val="decimal"/>
      <w:start w:val="2"/>
    </w:lvl>
  </w:abstractNum>
  <w:abstractNum w:abstractNumId="89">
    <w:nsid w:val="43F18422"/>
    <w:multiLevelType w:val="hybridMultilevel"/>
    <w:lvl w:ilvl="0">
      <w:lvlJc w:val="left"/>
      <w:lvlText w:val="(%1)"/>
      <w:numFmt w:val="decimal"/>
      <w:start w:val="3"/>
    </w:lvl>
  </w:abstractNum>
  <w:abstractNum w:abstractNumId="90">
    <w:nsid w:val="60EF0119"/>
    <w:multiLevelType w:val="hybridMultilevel"/>
    <w:lvl w:ilvl="0">
      <w:lvlJc w:val="left"/>
      <w:lvlText w:val="(%1)"/>
      <w:numFmt w:val="decimal"/>
      <w:start w:val="4"/>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decimal"/>
      <w:start w:val="5"/>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2026-04-30T16:10:43Z</dcterms:created>
  <dcterms:modified xsi:type="dcterms:W3CDTF">2026-04-30T16:10:43Z</dcterms:modified>
</cp:coreProperties>
</file>